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1B" w:rsidRPr="004640C7" w:rsidRDefault="00667CF0" w:rsidP="00F04209">
      <w:pPr>
        <w:jc w:val="center"/>
        <w:rPr>
          <w:rFonts w:ascii="Arial" w:hAnsi="Arial" w:cs="Arial"/>
          <w:b/>
        </w:rPr>
      </w:pPr>
      <w:r w:rsidRPr="004640C7">
        <w:rPr>
          <w:rFonts w:ascii="Arial" w:hAnsi="Arial" w:cs="Arial"/>
          <w:b/>
        </w:rPr>
        <w:t xml:space="preserve">ÚVER Z ÚVEROVEJ LINKY EIB NA PODPORU MALÝCH A STREDNÝCH PODNIKOV A STREDNE VEĽKÝCH </w:t>
      </w:r>
      <w:r w:rsidR="0087373C" w:rsidRPr="004640C7">
        <w:rPr>
          <w:rFonts w:ascii="Arial" w:hAnsi="Arial" w:cs="Arial"/>
          <w:b/>
        </w:rPr>
        <w:t xml:space="preserve">SPOLOČNOSTÍ </w:t>
      </w:r>
    </w:p>
    <w:p w:rsidR="000A4C1B" w:rsidRPr="004640C7" w:rsidRDefault="000A4C1B">
      <w:pPr>
        <w:rPr>
          <w:rFonts w:ascii="Arial" w:hAnsi="Arial" w:cs="Arial"/>
          <w:b/>
        </w:rPr>
      </w:pPr>
      <w:r w:rsidRPr="004640C7">
        <w:rPr>
          <w:rFonts w:ascii="Arial" w:hAnsi="Arial" w:cs="Arial"/>
          <w:b/>
        </w:rPr>
        <w:t>Základné informácie</w:t>
      </w:r>
    </w:p>
    <w:p w:rsidR="00FA4955" w:rsidRPr="004640C7" w:rsidRDefault="00FA4955" w:rsidP="000A4C1B">
      <w:pPr>
        <w:jc w:val="both"/>
        <w:rPr>
          <w:rFonts w:ascii="Arial" w:hAnsi="Arial" w:cs="Arial"/>
        </w:rPr>
      </w:pPr>
      <w:r w:rsidRPr="004640C7">
        <w:rPr>
          <w:rFonts w:ascii="Arial" w:hAnsi="Arial" w:cs="Arial"/>
        </w:rPr>
        <w:t>EXIMBANKA SR uzatv</w:t>
      </w:r>
      <w:bookmarkStart w:id="0" w:name="_GoBack"/>
      <w:bookmarkEnd w:id="0"/>
      <w:r w:rsidRPr="004640C7">
        <w:rPr>
          <w:rFonts w:ascii="Arial" w:hAnsi="Arial" w:cs="Arial"/>
        </w:rPr>
        <w:t>orila zmluvu o</w:t>
      </w:r>
      <w:r w:rsidR="00181984" w:rsidRPr="004640C7">
        <w:rPr>
          <w:rFonts w:ascii="Arial" w:hAnsi="Arial" w:cs="Arial"/>
        </w:rPr>
        <w:t> </w:t>
      </w:r>
      <w:r w:rsidRPr="004640C7">
        <w:rPr>
          <w:rFonts w:ascii="Arial" w:hAnsi="Arial" w:cs="Arial"/>
        </w:rPr>
        <w:t>úver</w:t>
      </w:r>
      <w:r w:rsidR="00181984" w:rsidRPr="004640C7">
        <w:rPr>
          <w:rFonts w:ascii="Arial" w:hAnsi="Arial" w:cs="Arial"/>
        </w:rPr>
        <w:t xml:space="preserve">e </w:t>
      </w:r>
      <w:r w:rsidRPr="004640C7">
        <w:rPr>
          <w:rFonts w:ascii="Arial" w:hAnsi="Arial" w:cs="Arial"/>
        </w:rPr>
        <w:t>s Európskou investičnou bankou (</w:t>
      </w:r>
      <w:r w:rsidR="005C5884" w:rsidRPr="004640C7">
        <w:rPr>
          <w:rFonts w:ascii="Arial" w:hAnsi="Arial" w:cs="Arial"/>
        </w:rPr>
        <w:t>EIB</w:t>
      </w:r>
      <w:r w:rsidRPr="004640C7">
        <w:rPr>
          <w:rFonts w:ascii="Arial" w:hAnsi="Arial" w:cs="Arial"/>
        </w:rPr>
        <w:t>)</w:t>
      </w:r>
      <w:r w:rsidR="00181984" w:rsidRPr="004640C7">
        <w:rPr>
          <w:rFonts w:ascii="Arial" w:hAnsi="Arial" w:cs="Arial"/>
        </w:rPr>
        <w:t>, ktorej účelom je</w:t>
      </w:r>
      <w:r w:rsidRPr="004640C7">
        <w:rPr>
          <w:rFonts w:ascii="Arial" w:hAnsi="Arial" w:cs="Arial"/>
        </w:rPr>
        <w:t xml:space="preserve"> podpor</w:t>
      </w:r>
      <w:r w:rsidR="00181984" w:rsidRPr="004640C7">
        <w:rPr>
          <w:rFonts w:ascii="Arial" w:hAnsi="Arial" w:cs="Arial"/>
        </w:rPr>
        <w:t>a</w:t>
      </w:r>
      <w:r w:rsidRPr="004640C7">
        <w:rPr>
          <w:rFonts w:ascii="Arial" w:hAnsi="Arial" w:cs="Arial"/>
        </w:rPr>
        <w:t xml:space="preserve"> malých a stredných podnikov </w:t>
      </w:r>
      <w:r w:rsidR="00A07E07" w:rsidRPr="004640C7">
        <w:rPr>
          <w:rFonts w:ascii="Arial" w:hAnsi="Arial" w:cs="Arial"/>
        </w:rPr>
        <w:t>(</w:t>
      </w:r>
      <w:r w:rsidR="00364705" w:rsidRPr="004640C7">
        <w:rPr>
          <w:rFonts w:ascii="Arial" w:hAnsi="Arial" w:cs="Arial"/>
        </w:rPr>
        <w:t>„MSP“</w:t>
      </w:r>
      <w:r w:rsidR="00A07E07" w:rsidRPr="004640C7">
        <w:rPr>
          <w:rFonts w:ascii="Arial" w:hAnsi="Arial" w:cs="Arial"/>
        </w:rPr>
        <w:t xml:space="preserve">) </w:t>
      </w:r>
      <w:r w:rsidRPr="004640C7">
        <w:rPr>
          <w:rFonts w:ascii="Arial" w:hAnsi="Arial" w:cs="Arial"/>
        </w:rPr>
        <w:t xml:space="preserve">a stredne veľkých </w:t>
      </w:r>
      <w:r w:rsidR="0087373C" w:rsidRPr="004640C7">
        <w:rPr>
          <w:rFonts w:ascii="Arial" w:hAnsi="Arial" w:cs="Arial"/>
        </w:rPr>
        <w:t>spoločností</w:t>
      </w:r>
      <w:r w:rsidR="00A07E07" w:rsidRPr="004640C7">
        <w:rPr>
          <w:rFonts w:ascii="Arial" w:hAnsi="Arial" w:cs="Arial"/>
        </w:rPr>
        <w:t xml:space="preserve"> (</w:t>
      </w:r>
      <w:r w:rsidR="00E9700E" w:rsidRPr="004640C7">
        <w:rPr>
          <w:rFonts w:ascii="Arial" w:hAnsi="Arial" w:cs="Arial"/>
        </w:rPr>
        <w:t>„</w:t>
      </w:r>
      <w:proofErr w:type="spellStart"/>
      <w:r w:rsidR="00A07E07" w:rsidRPr="004640C7">
        <w:rPr>
          <w:rFonts w:ascii="Arial" w:hAnsi="Arial" w:cs="Arial"/>
        </w:rPr>
        <w:t>M</w:t>
      </w:r>
      <w:r w:rsidR="0087373C" w:rsidRPr="004640C7">
        <w:rPr>
          <w:rFonts w:ascii="Arial" w:hAnsi="Arial" w:cs="Arial"/>
        </w:rPr>
        <w:t>idCaps</w:t>
      </w:r>
      <w:proofErr w:type="spellEnd"/>
      <w:r w:rsidR="0087373C" w:rsidRPr="004640C7">
        <w:rPr>
          <w:rFonts w:ascii="Arial" w:hAnsi="Arial" w:cs="Arial"/>
        </w:rPr>
        <w:t>“</w:t>
      </w:r>
      <w:r w:rsidR="00A07E07" w:rsidRPr="004640C7">
        <w:rPr>
          <w:rFonts w:ascii="Arial" w:hAnsi="Arial" w:cs="Arial"/>
        </w:rPr>
        <w:t>)</w:t>
      </w:r>
      <w:r w:rsidR="00B05D40" w:rsidRPr="004640C7">
        <w:rPr>
          <w:rFonts w:ascii="Arial" w:hAnsi="Arial" w:cs="Arial"/>
        </w:rPr>
        <w:t xml:space="preserve"> zasiahnutých pandémiou COVID-19</w:t>
      </w:r>
      <w:r w:rsidRPr="004640C7">
        <w:rPr>
          <w:rFonts w:ascii="Arial" w:hAnsi="Arial" w:cs="Arial"/>
        </w:rPr>
        <w:t xml:space="preserve"> prostredníctvo</w:t>
      </w:r>
      <w:r w:rsidR="00A07E07" w:rsidRPr="004640C7">
        <w:rPr>
          <w:rFonts w:ascii="Arial" w:hAnsi="Arial" w:cs="Arial"/>
        </w:rPr>
        <w:t>m</w:t>
      </w:r>
      <w:r w:rsidRPr="004640C7">
        <w:rPr>
          <w:rFonts w:ascii="Arial" w:hAnsi="Arial" w:cs="Arial"/>
        </w:rPr>
        <w:t xml:space="preserve"> zvýhodnených podmienok financovania v celkovom objeme </w:t>
      </w:r>
      <w:r w:rsidR="00F00CCF" w:rsidRPr="004640C7">
        <w:rPr>
          <w:rFonts w:ascii="Arial" w:hAnsi="Arial" w:cs="Arial"/>
        </w:rPr>
        <w:t>3</w:t>
      </w:r>
      <w:r w:rsidRPr="004640C7">
        <w:rPr>
          <w:rFonts w:ascii="Arial" w:hAnsi="Arial" w:cs="Arial"/>
        </w:rPr>
        <w:t>0 mil. EUR</w:t>
      </w:r>
      <w:r w:rsidR="00670F7F" w:rsidRPr="004640C7">
        <w:rPr>
          <w:rFonts w:ascii="Arial" w:hAnsi="Arial" w:cs="Arial"/>
        </w:rPr>
        <w:t>.</w:t>
      </w:r>
    </w:p>
    <w:p w:rsidR="00FA4955" w:rsidRPr="004640C7" w:rsidRDefault="00FA4955" w:rsidP="000A4C1B">
      <w:pPr>
        <w:jc w:val="both"/>
        <w:rPr>
          <w:rFonts w:ascii="Arial" w:hAnsi="Arial" w:cs="Arial"/>
        </w:rPr>
      </w:pPr>
      <w:r w:rsidRPr="004640C7">
        <w:rPr>
          <w:rFonts w:ascii="Arial" w:hAnsi="Arial" w:cs="Arial"/>
        </w:rPr>
        <w:t>EIB predstavuje</w:t>
      </w:r>
      <w:r w:rsidR="00956899" w:rsidRPr="004640C7">
        <w:rPr>
          <w:rFonts w:ascii="Arial" w:hAnsi="Arial" w:cs="Arial"/>
        </w:rPr>
        <w:t xml:space="preserve"> banku Európskej únie financovanú</w:t>
      </w:r>
      <w:r w:rsidRPr="004640C7">
        <w:rPr>
          <w:rFonts w:ascii="Arial" w:hAnsi="Arial" w:cs="Arial"/>
        </w:rPr>
        <w:t xml:space="preserve"> z pôžičiek na kapitálových t</w:t>
      </w:r>
      <w:r w:rsidR="00667CF0" w:rsidRPr="004640C7">
        <w:rPr>
          <w:rFonts w:ascii="Arial" w:hAnsi="Arial" w:cs="Arial"/>
        </w:rPr>
        <w:t>rhoch a vkladov akcionárov EIB</w:t>
      </w:r>
      <w:r w:rsidRPr="004640C7">
        <w:rPr>
          <w:rFonts w:ascii="Arial" w:hAnsi="Arial" w:cs="Arial"/>
        </w:rPr>
        <w:t xml:space="preserve"> – členských štátov Európskej únie (EÚ). </w:t>
      </w:r>
      <w:r w:rsidR="00A07E07" w:rsidRPr="004640C7">
        <w:rPr>
          <w:rFonts w:ascii="Arial" w:hAnsi="Arial" w:cs="Arial"/>
        </w:rPr>
        <w:t xml:space="preserve">Hlavnou úlohou EIB je prispievať k vyváženému ekonomickému rozvoju a sociálnej kohézie členských štátov EÚ a ich vzájomnej integrácii. </w:t>
      </w:r>
    </w:p>
    <w:p w:rsidR="009930B2" w:rsidRDefault="009930B2" w:rsidP="000A4C1B">
      <w:pPr>
        <w:jc w:val="both"/>
        <w:rPr>
          <w:rFonts w:ascii="Arial" w:hAnsi="Arial" w:cs="Arial"/>
        </w:rPr>
      </w:pPr>
      <w:r w:rsidRPr="004640C7">
        <w:rPr>
          <w:rFonts w:ascii="Arial" w:hAnsi="Arial" w:cs="Arial"/>
        </w:rPr>
        <w:t xml:space="preserve">Úvery poskytované z úverovej linky EIB sú určené pre </w:t>
      </w:r>
      <w:r w:rsidR="00364705" w:rsidRPr="004640C7">
        <w:rPr>
          <w:rFonts w:ascii="Arial" w:hAnsi="Arial" w:cs="Arial"/>
        </w:rPr>
        <w:t>MSP</w:t>
      </w:r>
      <w:r w:rsidRPr="004640C7">
        <w:rPr>
          <w:rFonts w:ascii="Arial" w:hAnsi="Arial" w:cs="Arial"/>
        </w:rPr>
        <w:t xml:space="preserve"> zamestnávajúce menej ako 250 zamestnancov a </w:t>
      </w:r>
      <w:proofErr w:type="spellStart"/>
      <w:r w:rsidR="0087373C" w:rsidRPr="004640C7">
        <w:rPr>
          <w:rFonts w:ascii="Arial" w:hAnsi="Arial" w:cs="Arial"/>
        </w:rPr>
        <w:t>MidCaps</w:t>
      </w:r>
      <w:proofErr w:type="spellEnd"/>
      <w:r w:rsidRPr="004640C7">
        <w:rPr>
          <w:rFonts w:ascii="Arial" w:hAnsi="Arial" w:cs="Arial"/>
        </w:rPr>
        <w:t xml:space="preserve">, ktoré zamestnávajú </w:t>
      </w:r>
      <w:r w:rsidR="0087373C" w:rsidRPr="004640C7">
        <w:rPr>
          <w:rFonts w:ascii="Arial" w:hAnsi="Arial" w:cs="Arial"/>
        </w:rPr>
        <w:t xml:space="preserve">minimálne 250 a menej ako 3 000 </w:t>
      </w:r>
      <w:r w:rsidRPr="004640C7">
        <w:rPr>
          <w:rFonts w:ascii="Arial" w:hAnsi="Arial" w:cs="Arial"/>
        </w:rPr>
        <w:t>zamestnancov a sú určené na podporu investičných projektov a prevádzkového kapitálu.</w:t>
      </w:r>
    </w:p>
    <w:p w:rsidR="001A14C7" w:rsidRPr="00A217C6" w:rsidRDefault="001A14C7" w:rsidP="001A14C7">
      <w:pPr>
        <w:pStyle w:val="Bezriadkovania"/>
      </w:pPr>
    </w:p>
    <w:p w:rsidR="00AE2FA0" w:rsidRDefault="00AE2FA0" w:rsidP="00AE2FA0">
      <w:pPr>
        <w:pStyle w:val="Bezriadkovani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AE2FA0" w:rsidRPr="00694A40" w:rsidRDefault="00667CF0" w:rsidP="00AE2FA0">
      <w:pPr>
        <w:pStyle w:val="Bezriadkovania"/>
        <w:jc w:val="center"/>
        <w:rPr>
          <w:rFonts w:ascii="Arial" w:hAnsi="Arial" w:cs="Arial"/>
          <w:b/>
        </w:rPr>
      </w:pPr>
      <w:r w:rsidRPr="00694A40">
        <w:rPr>
          <w:rFonts w:ascii="Arial" w:hAnsi="Arial" w:cs="Arial"/>
          <w:b/>
        </w:rPr>
        <w:t>PRAVIDLÁ PRE FINANCOVANIE MSP A</w:t>
      </w:r>
      <w:r w:rsidR="0087373C" w:rsidRPr="00694A40">
        <w:rPr>
          <w:rFonts w:ascii="Arial" w:hAnsi="Arial" w:cs="Arial"/>
          <w:b/>
        </w:rPr>
        <w:t xml:space="preserve"> MIDCAPS </w:t>
      </w:r>
      <w:r w:rsidR="00AE2FA0" w:rsidRPr="00694A40">
        <w:rPr>
          <w:rFonts w:ascii="Arial" w:hAnsi="Arial" w:cs="Arial"/>
          <w:b/>
        </w:rPr>
        <w:t xml:space="preserve"> </w:t>
      </w:r>
    </w:p>
    <w:p w:rsidR="00A07E07" w:rsidRPr="00694A40" w:rsidRDefault="00667CF0" w:rsidP="00AE2FA0">
      <w:pPr>
        <w:pStyle w:val="Bezriadkovania"/>
        <w:jc w:val="center"/>
        <w:rPr>
          <w:rFonts w:ascii="Arial" w:hAnsi="Arial" w:cs="Arial"/>
          <w:b/>
        </w:rPr>
      </w:pPr>
      <w:r w:rsidRPr="00694A40">
        <w:rPr>
          <w:rFonts w:ascii="Arial" w:hAnsi="Arial" w:cs="Arial"/>
          <w:b/>
        </w:rPr>
        <w:t>S VÝŠKOU PROJEKTOVÝCH NÁKLADOV DO 25 MIL. EUR</w:t>
      </w:r>
    </w:p>
    <w:p w:rsidR="00667CF0" w:rsidRPr="00694A40" w:rsidRDefault="00667CF0" w:rsidP="00667CF0">
      <w:pPr>
        <w:pStyle w:val="Bezriadkovania"/>
      </w:pPr>
    </w:p>
    <w:p w:rsidR="005D2D5B" w:rsidRPr="00694A40" w:rsidRDefault="008F6CD2" w:rsidP="00AE2FA0">
      <w:pPr>
        <w:pStyle w:val="Odsekzoznamu"/>
        <w:numPr>
          <w:ilvl w:val="0"/>
          <w:numId w:val="18"/>
        </w:numPr>
        <w:ind w:left="426" w:hanging="426"/>
        <w:jc w:val="both"/>
        <w:rPr>
          <w:rFonts w:ascii="Arial" w:hAnsi="Arial" w:cs="Arial"/>
          <w:b/>
        </w:rPr>
      </w:pPr>
      <w:r w:rsidRPr="00694A40">
        <w:rPr>
          <w:rFonts w:ascii="Arial" w:hAnsi="Arial" w:cs="Arial"/>
          <w:b/>
        </w:rPr>
        <w:t>Oprávnené subjekty</w:t>
      </w:r>
    </w:p>
    <w:p w:rsidR="00A50851" w:rsidRPr="00694A40" w:rsidRDefault="00A50851" w:rsidP="000A4C1B">
      <w:pPr>
        <w:jc w:val="both"/>
        <w:rPr>
          <w:rFonts w:ascii="Arial" w:hAnsi="Arial" w:cs="Arial"/>
        </w:rPr>
      </w:pPr>
      <w:r w:rsidRPr="00694A40">
        <w:rPr>
          <w:rFonts w:ascii="Arial" w:hAnsi="Arial" w:cs="Arial"/>
        </w:rPr>
        <w:t xml:space="preserve">Za </w:t>
      </w:r>
      <w:r w:rsidR="00364705" w:rsidRPr="00694A40">
        <w:rPr>
          <w:rFonts w:ascii="Arial" w:hAnsi="Arial" w:cs="Arial"/>
        </w:rPr>
        <w:t>MSP</w:t>
      </w:r>
      <w:r w:rsidR="00BB748A" w:rsidRPr="00694A40">
        <w:rPr>
          <w:rFonts w:ascii="Arial" w:hAnsi="Arial" w:cs="Arial"/>
        </w:rPr>
        <w:t xml:space="preserve"> sa považuje </w:t>
      </w:r>
      <w:r w:rsidR="0087373C" w:rsidRPr="00694A40">
        <w:rPr>
          <w:rFonts w:ascii="Arial" w:hAnsi="Arial" w:cs="Arial"/>
        </w:rPr>
        <w:t>podnik</w:t>
      </w:r>
      <w:r w:rsidR="00BB748A" w:rsidRPr="00694A40">
        <w:rPr>
          <w:rFonts w:ascii="Arial" w:hAnsi="Arial" w:cs="Arial"/>
        </w:rPr>
        <w:t>, ktor</w:t>
      </w:r>
      <w:r w:rsidR="0087373C" w:rsidRPr="00694A40">
        <w:rPr>
          <w:rFonts w:ascii="Arial" w:hAnsi="Arial" w:cs="Arial"/>
        </w:rPr>
        <w:t>ý</w:t>
      </w:r>
      <w:r w:rsidRPr="00694A40">
        <w:rPr>
          <w:rFonts w:ascii="Arial" w:hAnsi="Arial" w:cs="Arial"/>
        </w:rPr>
        <w:t xml:space="preserve"> zamestnáva na plný pracovný úväzok menej ako 250 zamestnancov v čase podania žiadosti o poskytnutie úveru.</w:t>
      </w:r>
    </w:p>
    <w:p w:rsidR="0082625D" w:rsidRPr="00694A40" w:rsidRDefault="0082625D" w:rsidP="0082625D">
      <w:pPr>
        <w:jc w:val="both"/>
        <w:rPr>
          <w:rFonts w:ascii="Arial" w:hAnsi="Arial" w:cs="Arial"/>
        </w:rPr>
      </w:pPr>
      <w:r w:rsidRPr="00694A40">
        <w:rPr>
          <w:rFonts w:ascii="Arial" w:hAnsi="Arial" w:cs="Arial"/>
        </w:rPr>
        <w:t xml:space="preserve">Za </w:t>
      </w:r>
      <w:proofErr w:type="spellStart"/>
      <w:r w:rsidR="0087373C" w:rsidRPr="00694A40">
        <w:rPr>
          <w:rFonts w:ascii="Arial" w:hAnsi="Arial" w:cs="Arial"/>
        </w:rPr>
        <w:t>MidCap</w:t>
      </w:r>
      <w:r w:rsidR="00E9700E" w:rsidRPr="00694A40">
        <w:rPr>
          <w:rFonts w:ascii="Arial" w:hAnsi="Arial" w:cs="Arial"/>
        </w:rPr>
        <w:t>s</w:t>
      </w:r>
      <w:proofErr w:type="spellEnd"/>
      <w:r w:rsidR="0087373C" w:rsidRPr="00694A40">
        <w:rPr>
          <w:rFonts w:ascii="Arial" w:hAnsi="Arial" w:cs="Arial"/>
        </w:rPr>
        <w:t xml:space="preserve"> </w:t>
      </w:r>
      <w:r w:rsidRPr="00694A40">
        <w:rPr>
          <w:rFonts w:ascii="Arial" w:hAnsi="Arial" w:cs="Arial"/>
        </w:rPr>
        <w:t xml:space="preserve">sa považuje </w:t>
      </w:r>
      <w:r w:rsidR="009B726D" w:rsidRPr="00694A40">
        <w:rPr>
          <w:rFonts w:ascii="Arial" w:hAnsi="Arial" w:cs="Arial"/>
        </w:rPr>
        <w:t>spoločnosť</w:t>
      </w:r>
      <w:r w:rsidRPr="00694A40">
        <w:rPr>
          <w:rFonts w:ascii="Arial" w:hAnsi="Arial" w:cs="Arial"/>
        </w:rPr>
        <w:t>, ktor</w:t>
      </w:r>
      <w:r w:rsidR="009B726D" w:rsidRPr="00694A40">
        <w:rPr>
          <w:rFonts w:ascii="Arial" w:hAnsi="Arial" w:cs="Arial"/>
        </w:rPr>
        <w:t>á</w:t>
      </w:r>
      <w:r w:rsidRPr="00694A40">
        <w:rPr>
          <w:rFonts w:ascii="Arial" w:hAnsi="Arial" w:cs="Arial"/>
        </w:rPr>
        <w:t xml:space="preserve"> zamestnáva na plný pracovný úväzok minimálne 250 zamestnancov a menej ako 3</w:t>
      </w:r>
      <w:r w:rsidR="00707975" w:rsidRPr="00694A40">
        <w:rPr>
          <w:rFonts w:ascii="Arial" w:hAnsi="Arial" w:cs="Arial"/>
        </w:rPr>
        <w:t xml:space="preserve"> </w:t>
      </w:r>
      <w:r w:rsidRPr="00694A40">
        <w:rPr>
          <w:rFonts w:ascii="Arial" w:hAnsi="Arial" w:cs="Arial"/>
        </w:rPr>
        <w:t>000 zamestnancov v čase podania žiadosti o poskytnutie úveru.</w:t>
      </w:r>
    </w:p>
    <w:p w:rsidR="008A7D98" w:rsidRDefault="00A50851" w:rsidP="00A50851">
      <w:pPr>
        <w:jc w:val="both"/>
        <w:rPr>
          <w:rFonts w:ascii="Arial" w:hAnsi="Arial" w:cs="Arial"/>
        </w:rPr>
      </w:pPr>
      <w:r w:rsidRPr="00694A40">
        <w:rPr>
          <w:rFonts w:ascii="Arial" w:hAnsi="Arial" w:cs="Arial"/>
        </w:rPr>
        <w:t>Pr</w:t>
      </w:r>
      <w:r w:rsidR="00181984" w:rsidRPr="00694A40">
        <w:rPr>
          <w:rFonts w:ascii="Arial" w:hAnsi="Arial" w:cs="Arial"/>
        </w:rPr>
        <w:t>i</w:t>
      </w:r>
      <w:r w:rsidRPr="00694A40">
        <w:rPr>
          <w:rFonts w:ascii="Arial" w:hAnsi="Arial" w:cs="Arial"/>
        </w:rPr>
        <w:t xml:space="preserve"> stanovení počtu zamestnancov sa postupuje v zmysle Odporúčania Európskej komisie č. 2003/361/EC</w:t>
      </w:r>
      <w:r w:rsidR="005C5884" w:rsidRPr="00694A40">
        <w:rPr>
          <w:rFonts w:ascii="Arial" w:hAnsi="Arial" w:cs="Arial"/>
        </w:rPr>
        <w:t>.</w:t>
      </w:r>
      <w:r w:rsidRPr="00694A40">
        <w:rPr>
          <w:rFonts w:ascii="Arial" w:hAnsi="Arial" w:cs="Arial"/>
        </w:rPr>
        <w:t xml:space="preserve"> Stanovenie počtu zamestnancov berie </w:t>
      </w:r>
      <w:r w:rsidR="007D6B46" w:rsidRPr="00694A40">
        <w:rPr>
          <w:rFonts w:ascii="Arial" w:hAnsi="Arial" w:cs="Arial"/>
        </w:rPr>
        <w:t xml:space="preserve">do úvahy priamych zamestnancov a </w:t>
      </w:r>
      <w:r w:rsidR="0082625D" w:rsidRPr="00694A40">
        <w:rPr>
          <w:rFonts w:ascii="Arial" w:hAnsi="Arial" w:cs="Arial"/>
        </w:rPr>
        <w:t xml:space="preserve">zamestnancov </w:t>
      </w:r>
      <w:r w:rsidR="00270D3A" w:rsidRPr="00694A40">
        <w:rPr>
          <w:rFonts w:ascii="Arial" w:hAnsi="Arial" w:cs="Arial"/>
        </w:rPr>
        <w:t>súvisiacich</w:t>
      </w:r>
      <w:r w:rsidR="0082625D" w:rsidRPr="00694A40">
        <w:rPr>
          <w:rFonts w:ascii="Arial" w:hAnsi="Arial" w:cs="Arial"/>
        </w:rPr>
        <w:t xml:space="preserve"> </w:t>
      </w:r>
      <w:r w:rsidR="00270D3A" w:rsidRPr="00694A40">
        <w:rPr>
          <w:rFonts w:ascii="Arial" w:hAnsi="Arial" w:cs="Arial"/>
        </w:rPr>
        <w:t>podnikov</w:t>
      </w:r>
      <w:r w:rsidR="0082625D" w:rsidRPr="00694A40">
        <w:rPr>
          <w:rFonts w:ascii="Arial" w:hAnsi="Arial" w:cs="Arial"/>
        </w:rPr>
        <w:t xml:space="preserve"> v súlade s</w:t>
      </w:r>
      <w:r w:rsidR="007D6B46" w:rsidRPr="00694A40">
        <w:rPr>
          <w:rFonts w:ascii="Arial" w:hAnsi="Arial" w:cs="Arial"/>
        </w:rPr>
        <w:t> </w:t>
      </w:r>
      <w:r w:rsidR="0082625D" w:rsidRPr="00694A40">
        <w:rPr>
          <w:rFonts w:ascii="Arial" w:hAnsi="Arial" w:cs="Arial"/>
        </w:rPr>
        <w:t>definíciou</w:t>
      </w:r>
      <w:r w:rsidR="007D6B46" w:rsidRPr="00694A40">
        <w:rPr>
          <w:rFonts w:ascii="Arial" w:hAnsi="Arial" w:cs="Arial"/>
        </w:rPr>
        <w:t xml:space="preserve"> Európskej komisie</w:t>
      </w:r>
      <w:r w:rsidR="0082625D" w:rsidRPr="00694A40">
        <w:rPr>
          <w:rFonts w:ascii="Arial" w:hAnsi="Arial" w:cs="Arial"/>
        </w:rPr>
        <w:t xml:space="preserve"> pre auton</w:t>
      </w:r>
      <w:r w:rsidR="004155E5" w:rsidRPr="00694A40">
        <w:rPr>
          <w:rFonts w:ascii="Arial" w:hAnsi="Arial" w:cs="Arial"/>
        </w:rPr>
        <w:t>ómne</w:t>
      </w:r>
      <w:r w:rsidR="0082625D" w:rsidRPr="00694A40">
        <w:rPr>
          <w:rFonts w:ascii="Arial" w:hAnsi="Arial" w:cs="Arial"/>
        </w:rPr>
        <w:t xml:space="preserve"> podnik</w:t>
      </w:r>
      <w:r w:rsidR="004155E5" w:rsidRPr="00694A40">
        <w:rPr>
          <w:rFonts w:ascii="Arial" w:hAnsi="Arial" w:cs="Arial"/>
        </w:rPr>
        <w:t>y</w:t>
      </w:r>
      <w:r w:rsidR="0082625D" w:rsidRPr="00694A40">
        <w:rPr>
          <w:rFonts w:ascii="Arial" w:hAnsi="Arial" w:cs="Arial"/>
        </w:rPr>
        <w:t>,</w:t>
      </w:r>
      <w:r w:rsidR="004155E5" w:rsidRPr="00694A40">
        <w:rPr>
          <w:rFonts w:ascii="Arial" w:hAnsi="Arial" w:cs="Arial"/>
        </w:rPr>
        <w:t xml:space="preserve"> partnerské</w:t>
      </w:r>
      <w:r w:rsidR="0082625D" w:rsidRPr="00694A40">
        <w:rPr>
          <w:rFonts w:ascii="Arial" w:hAnsi="Arial" w:cs="Arial"/>
        </w:rPr>
        <w:t xml:space="preserve"> a </w:t>
      </w:r>
      <w:r w:rsidR="004155E5" w:rsidRPr="00694A40">
        <w:rPr>
          <w:rFonts w:ascii="Arial" w:hAnsi="Arial" w:cs="Arial"/>
        </w:rPr>
        <w:t>prepojené</w:t>
      </w:r>
      <w:r w:rsidR="0082625D" w:rsidRPr="00694A40">
        <w:rPr>
          <w:rFonts w:ascii="Arial" w:hAnsi="Arial" w:cs="Arial"/>
        </w:rPr>
        <w:t xml:space="preserve"> podnik</w:t>
      </w:r>
      <w:r w:rsidR="004155E5" w:rsidRPr="00694A40">
        <w:rPr>
          <w:rFonts w:ascii="Arial" w:hAnsi="Arial" w:cs="Arial"/>
        </w:rPr>
        <w:t>y</w:t>
      </w:r>
      <w:r w:rsidR="001A14C7" w:rsidRPr="00694A40">
        <w:rPr>
          <w:rFonts w:ascii="Arial" w:hAnsi="Arial" w:cs="Arial"/>
        </w:rPr>
        <w:t xml:space="preserve">. </w:t>
      </w:r>
      <w:r w:rsidR="0082625D" w:rsidRPr="00694A40">
        <w:rPr>
          <w:rFonts w:ascii="Arial" w:hAnsi="Arial" w:cs="Arial"/>
        </w:rPr>
        <w:t xml:space="preserve">Celkový počet zamestnancov na konsolidovanej báze musí byť menej ako 250 zamestnancov pre </w:t>
      </w:r>
      <w:r w:rsidR="009B726D" w:rsidRPr="00694A40">
        <w:rPr>
          <w:rFonts w:ascii="Arial" w:hAnsi="Arial" w:cs="Arial"/>
        </w:rPr>
        <w:t>MSP</w:t>
      </w:r>
      <w:r w:rsidR="0082625D" w:rsidRPr="00694A40">
        <w:rPr>
          <w:rFonts w:ascii="Arial" w:hAnsi="Arial" w:cs="Arial"/>
        </w:rPr>
        <w:t xml:space="preserve"> a menej ako 3</w:t>
      </w:r>
      <w:r w:rsidR="00707975" w:rsidRPr="00694A40">
        <w:rPr>
          <w:rFonts w:ascii="Arial" w:hAnsi="Arial" w:cs="Arial"/>
        </w:rPr>
        <w:t xml:space="preserve"> </w:t>
      </w:r>
      <w:r w:rsidR="0082625D" w:rsidRPr="00694A40">
        <w:rPr>
          <w:rFonts w:ascii="Arial" w:hAnsi="Arial" w:cs="Arial"/>
        </w:rPr>
        <w:t xml:space="preserve">000 zamestnancov </w:t>
      </w:r>
      <w:r w:rsidR="009B726D" w:rsidRPr="00694A40">
        <w:rPr>
          <w:rFonts w:ascii="Arial" w:hAnsi="Arial" w:cs="Arial"/>
        </w:rPr>
        <w:t xml:space="preserve">pre </w:t>
      </w:r>
      <w:proofErr w:type="spellStart"/>
      <w:r w:rsidR="0087373C" w:rsidRPr="00694A40">
        <w:rPr>
          <w:rFonts w:ascii="Arial" w:hAnsi="Arial" w:cs="Arial"/>
        </w:rPr>
        <w:t>MidCap</w:t>
      </w:r>
      <w:r w:rsidR="00E9700E" w:rsidRPr="00694A40">
        <w:rPr>
          <w:rFonts w:ascii="Arial" w:hAnsi="Arial" w:cs="Arial"/>
        </w:rPr>
        <w:t>s</w:t>
      </w:r>
      <w:proofErr w:type="spellEnd"/>
      <w:r w:rsidR="0082625D" w:rsidRPr="00694A40">
        <w:rPr>
          <w:rFonts w:ascii="Arial" w:hAnsi="Arial" w:cs="Arial"/>
        </w:rPr>
        <w:t>.</w:t>
      </w:r>
      <w:r w:rsidR="0082625D" w:rsidRPr="00A217C6">
        <w:rPr>
          <w:rFonts w:ascii="Arial" w:hAnsi="Arial" w:cs="Arial"/>
        </w:rPr>
        <w:t xml:space="preserve"> </w:t>
      </w:r>
    </w:p>
    <w:p w:rsidR="008A7D98" w:rsidRPr="00E050A6" w:rsidRDefault="008A7D98" w:rsidP="008A7D98">
      <w:pPr>
        <w:pStyle w:val="Odsekzoznamu"/>
        <w:numPr>
          <w:ilvl w:val="0"/>
          <w:numId w:val="18"/>
        </w:numPr>
        <w:ind w:left="426" w:hanging="426"/>
        <w:rPr>
          <w:rFonts w:ascii="Arial" w:hAnsi="Arial" w:cs="Arial"/>
          <w:b/>
        </w:rPr>
      </w:pPr>
      <w:r w:rsidRPr="00E050A6">
        <w:rPr>
          <w:rFonts w:ascii="Arial" w:hAnsi="Arial" w:cs="Arial"/>
          <w:b/>
        </w:rPr>
        <w:t>Zvýhodnené podmienky financovania</w:t>
      </w:r>
    </w:p>
    <w:p w:rsidR="008A7D98" w:rsidRPr="00A217C6" w:rsidRDefault="008A7D98" w:rsidP="008A7D98">
      <w:pPr>
        <w:jc w:val="both"/>
        <w:rPr>
          <w:rFonts w:ascii="Arial" w:hAnsi="Arial" w:cs="Arial"/>
        </w:rPr>
      </w:pPr>
      <w:r w:rsidRPr="00A217C6">
        <w:rPr>
          <w:rFonts w:ascii="Arial" w:hAnsi="Arial" w:cs="Arial"/>
        </w:rPr>
        <w:t>Zvýhodnené financovanie z finančných prostriedkov EIB predstavuje úrokovú sadzbu oproti bežnému úveru zníženú</w:t>
      </w:r>
      <w:r w:rsidR="001A14C7">
        <w:rPr>
          <w:rFonts w:ascii="Arial" w:hAnsi="Arial" w:cs="Arial"/>
        </w:rPr>
        <w:t xml:space="preserve"> </w:t>
      </w:r>
      <w:r w:rsidR="005404EE">
        <w:rPr>
          <w:rFonts w:ascii="Arial" w:hAnsi="Arial" w:cs="Arial"/>
        </w:rPr>
        <w:t xml:space="preserve">minimálne </w:t>
      </w:r>
      <w:r w:rsidR="00950CD0">
        <w:rPr>
          <w:rFonts w:ascii="Arial" w:hAnsi="Arial" w:cs="Arial"/>
        </w:rPr>
        <w:t>o</w:t>
      </w:r>
      <w:r w:rsidR="001A14C7">
        <w:rPr>
          <w:rFonts w:ascii="Arial" w:hAnsi="Arial" w:cs="Arial"/>
        </w:rPr>
        <w:t xml:space="preserve"> 0,25 % </w:t>
      </w:r>
      <w:proofErr w:type="spellStart"/>
      <w:r w:rsidR="001A14C7">
        <w:rPr>
          <w:rFonts w:ascii="Arial" w:hAnsi="Arial" w:cs="Arial"/>
        </w:rPr>
        <w:t>p.a</w:t>
      </w:r>
      <w:proofErr w:type="spellEnd"/>
      <w:r w:rsidR="001A14C7">
        <w:rPr>
          <w:rFonts w:ascii="Arial" w:hAnsi="Arial" w:cs="Arial"/>
        </w:rPr>
        <w:t xml:space="preserve">. </w:t>
      </w:r>
      <w:r w:rsidRPr="00217134">
        <w:rPr>
          <w:rFonts w:ascii="Arial" w:hAnsi="Arial" w:cs="Arial"/>
        </w:rPr>
        <w:t>Úver je úročený variabilnou úrokovou sadzbou odvodenou od referenčnej úrokovej sadzby EURIBOR</w:t>
      </w:r>
      <w:r w:rsidR="00950CD0" w:rsidRPr="00217134">
        <w:rPr>
          <w:rFonts w:ascii="Arial" w:hAnsi="Arial" w:cs="Arial"/>
        </w:rPr>
        <w:t>.</w:t>
      </w:r>
    </w:p>
    <w:p w:rsidR="008A7D98" w:rsidRDefault="008A7D98" w:rsidP="008A7D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217C6">
        <w:rPr>
          <w:rFonts w:ascii="Arial" w:hAnsi="Arial" w:cs="Arial"/>
        </w:rPr>
        <w:t>rojekty financované z úverovej linky EIB musia zároveň spĺňať podmienky finan</w:t>
      </w:r>
      <w:r>
        <w:rPr>
          <w:rFonts w:ascii="Arial" w:hAnsi="Arial" w:cs="Arial"/>
        </w:rPr>
        <w:t>covania stanovené EXIMBANKOU SR.</w:t>
      </w:r>
    </w:p>
    <w:p w:rsidR="005545FF" w:rsidRPr="00E050A6" w:rsidRDefault="005545FF" w:rsidP="005545FF">
      <w:pPr>
        <w:numPr>
          <w:ilvl w:val="0"/>
          <w:numId w:val="18"/>
        </w:numPr>
        <w:ind w:left="426" w:hanging="426"/>
        <w:contextualSpacing/>
        <w:jc w:val="both"/>
        <w:rPr>
          <w:rFonts w:ascii="Arial" w:hAnsi="Arial" w:cs="Arial"/>
          <w:b/>
        </w:rPr>
      </w:pPr>
      <w:r w:rsidRPr="00E050A6">
        <w:rPr>
          <w:rFonts w:ascii="Arial" w:hAnsi="Arial" w:cs="Arial"/>
          <w:b/>
        </w:rPr>
        <w:t xml:space="preserve">Veľkosť projektov </w:t>
      </w:r>
    </w:p>
    <w:p w:rsidR="005545FF" w:rsidRPr="005545FF" w:rsidRDefault="005545FF" w:rsidP="005545FF">
      <w:pPr>
        <w:ind w:left="426"/>
        <w:contextualSpacing/>
        <w:jc w:val="both"/>
        <w:rPr>
          <w:rFonts w:ascii="Arial" w:hAnsi="Arial" w:cs="Arial"/>
          <w:b/>
        </w:rPr>
      </w:pPr>
    </w:p>
    <w:p w:rsidR="005545FF" w:rsidRDefault="005545FF" w:rsidP="005545FF">
      <w:pPr>
        <w:numPr>
          <w:ilvl w:val="0"/>
          <w:numId w:val="14"/>
        </w:numPr>
        <w:ind w:left="284" w:hanging="284"/>
        <w:contextualSpacing/>
        <w:jc w:val="both"/>
        <w:rPr>
          <w:rFonts w:ascii="Arial" w:hAnsi="Arial" w:cs="Arial"/>
        </w:rPr>
      </w:pPr>
      <w:r w:rsidRPr="005545FF">
        <w:rPr>
          <w:rFonts w:ascii="Arial" w:hAnsi="Arial" w:cs="Arial"/>
        </w:rPr>
        <w:t>celkové projektové náklady sú v maximálnej výške neprekračujúcej 25 mil. EUR,</w:t>
      </w:r>
    </w:p>
    <w:p w:rsidR="00950CD0" w:rsidRPr="00694A40" w:rsidRDefault="003D2131" w:rsidP="00950CD0">
      <w:pPr>
        <w:pStyle w:val="Odsekzoznamu"/>
        <w:numPr>
          <w:ilvl w:val="0"/>
          <w:numId w:val="22"/>
        </w:numPr>
        <w:ind w:left="284" w:hanging="284"/>
        <w:jc w:val="both"/>
        <w:rPr>
          <w:rFonts w:ascii="Arial" w:hAnsi="Arial" w:cs="Arial"/>
        </w:rPr>
      </w:pPr>
      <w:r w:rsidRPr="00694A40">
        <w:rPr>
          <w:rFonts w:ascii="Arial" w:hAnsi="Arial" w:cs="Arial"/>
        </w:rPr>
        <w:lastRenderedPageBreak/>
        <w:t>ú</w:t>
      </w:r>
      <w:r w:rsidR="00950CD0" w:rsidRPr="00694A40">
        <w:rPr>
          <w:rFonts w:ascii="Arial" w:hAnsi="Arial" w:cs="Arial"/>
        </w:rPr>
        <w:t xml:space="preserve">ver </w:t>
      </w:r>
      <w:r w:rsidRPr="00694A40">
        <w:rPr>
          <w:rFonts w:ascii="Arial" w:hAnsi="Arial" w:cs="Arial"/>
        </w:rPr>
        <w:t xml:space="preserve">z úverovej linky </w:t>
      </w:r>
      <w:r w:rsidR="00950CD0" w:rsidRPr="00694A40">
        <w:rPr>
          <w:rFonts w:ascii="Arial" w:hAnsi="Arial" w:cs="Arial"/>
        </w:rPr>
        <w:t>EIB je možné poskytnúť klientom MSP a </w:t>
      </w:r>
      <w:proofErr w:type="spellStart"/>
      <w:r w:rsidR="0087373C" w:rsidRPr="00694A40">
        <w:rPr>
          <w:rFonts w:ascii="Arial" w:hAnsi="Arial" w:cs="Arial"/>
        </w:rPr>
        <w:t>MidCaps</w:t>
      </w:r>
      <w:proofErr w:type="spellEnd"/>
      <w:r w:rsidR="00950CD0" w:rsidRPr="00694A40">
        <w:rPr>
          <w:rFonts w:ascii="Arial" w:hAnsi="Arial" w:cs="Arial"/>
        </w:rPr>
        <w:t xml:space="preserve"> až do výšky 100</w:t>
      </w:r>
      <w:r w:rsidR="00E050A6" w:rsidRPr="00694A40">
        <w:rPr>
          <w:rFonts w:ascii="Arial" w:hAnsi="Arial" w:cs="Arial"/>
        </w:rPr>
        <w:t xml:space="preserve"> </w:t>
      </w:r>
      <w:r w:rsidR="00950CD0" w:rsidRPr="00694A40">
        <w:rPr>
          <w:rFonts w:ascii="Arial" w:hAnsi="Arial" w:cs="Arial"/>
        </w:rPr>
        <w:t xml:space="preserve">% </w:t>
      </w:r>
      <w:r w:rsidR="00134AE8" w:rsidRPr="00694A40">
        <w:rPr>
          <w:rFonts w:ascii="Arial" w:hAnsi="Arial" w:cs="Arial"/>
        </w:rPr>
        <w:t>príslušného financovania</w:t>
      </w:r>
      <w:r w:rsidR="00DD3FE9" w:rsidRPr="00694A40">
        <w:rPr>
          <w:rFonts w:ascii="Arial" w:hAnsi="Arial" w:cs="Arial"/>
        </w:rPr>
        <w:t>,</w:t>
      </w:r>
      <w:r w:rsidR="00134AE8" w:rsidRPr="00694A40">
        <w:rPr>
          <w:rFonts w:ascii="Arial" w:hAnsi="Arial" w:cs="Arial"/>
        </w:rPr>
        <w:t xml:space="preserve"> </w:t>
      </w:r>
      <w:r w:rsidR="00950CD0" w:rsidRPr="00694A40">
        <w:rPr>
          <w:rFonts w:ascii="Arial" w:hAnsi="Arial" w:cs="Arial"/>
        </w:rPr>
        <w:t xml:space="preserve">maximálne však do výšky  12,5 mil. EUR, </w:t>
      </w:r>
    </w:p>
    <w:p w:rsidR="005545FF" w:rsidRPr="00694A40" w:rsidRDefault="005545FF" w:rsidP="009B1699">
      <w:pPr>
        <w:pStyle w:val="Odsekzoznamu"/>
        <w:numPr>
          <w:ilvl w:val="0"/>
          <w:numId w:val="22"/>
        </w:numPr>
        <w:ind w:left="284" w:hanging="284"/>
        <w:jc w:val="both"/>
        <w:rPr>
          <w:rFonts w:ascii="Arial" w:hAnsi="Arial" w:cs="Arial"/>
        </w:rPr>
      </w:pPr>
      <w:r w:rsidRPr="00694A40">
        <w:rPr>
          <w:rFonts w:ascii="Arial" w:hAnsi="Arial" w:cs="Arial"/>
        </w:rPr>
        <w:t xml:space="preserve">v prípade ak je projekt financovaný s finančnou podporou EÚ, tak suma finančných prostriedkov alokovaných zo strany EIB a finančnej podpory zo strany EÚ nesmie kedykoľvek presiahnuť 100 % nákladov na projekt. </w:t>
      </w:r>
    </w:p>
    <w:p w:rsidR="005545FF" w:rsidRPr="00694A40" w:rsidRDefault="005545FF" w:rsidP="005545FF">
      <w:pPr>
        <w:numPr>
          <w:ilvl w:val="0"/>
          <w:numId w:val="18"/>
        </w:numPr>
        <w:ind w:left="426" w:hanging="426"/>
        <w:contextualSpacing/>
        <w:jc w:val="both"/>
        <w:rPr>
          <w:rFonts w:ascii="Arial" w:hAnsi="Arial" w:cs="Arial"/>
          <w:b/>
        </w:rPr>
      </w:pPr>
      <w:r w:rsidRPr="00694A40">
        <w:rPr>
          <w:rFonts w:ascii="Arial" w:hAnsi="Arial" w:cs="Arial"/>
          <w:b/>
        </w:rPr>
        <w:t>Splatnosť úverov a doba implementácie projektov</w:t>
      </w:r>
    </w:p>
    <w:p w:rsidR="005545FF" w:rsidRPr="00694A40" w:rsidRDefault="005545FF" w:rsidP="005545FF">
      <w:pPr>
        <w:ind w:left="426"/>
        <w:contextualSpacing/>
        <w:jc w:val="both"/>
        <w:rPr>
          <w:rFonts w:ascii="Arial" w:hAnsi="Arial" w:cs="Arial"/>
          <w:b/>
        </w:rPr>
      </w:pPr>
    </w:p>
    <w:p w:rsidR="0097112B" w:rsidRDefault="005545FF" w:rsidP="005545FF">
      <w:pPr>
        <w:jc w:val="both"/>
        <w:rPr>
          <w:rFonts w:ascii="Arial" w:hAnsi="Arial" w:cs="Arial"/>
        </w:rPr>
      </w:pPr>
      <w:r w:rsidRPr="00694A40">
        <w:rPr>
          <w:rFonts w:ascii="Arial" w:hAnsi="Arial" w:cs="Arial"/>
        </w:rPr>
        <w:t xml:space="preserve">Minimálna splatnosť úveru </w:t>
      </w:r>
      <w:r w:rsidR="003C24D9" w:rsidRPr="00694A40">
        <w:rPr>
          <w:rFonts w:ascii="Arial" w:hAnsi="Arial" w:cs="Arial"/>
        </w:rPr>
        <w:t xml:space="preserve">pre financovanie prevádzkového </w:t>
      </w:r>
      <w:r w:rsidR="00841B24">
        <w:rPr>
          <w:rFonts w:ascii="Arial" w:hAnsi="Arial" w:cs="Arial"/>
        </w:rPr>
        <w:t xml:space="preserve">predstavuje 180 dní </w:t>
      </w:r>
      <w:r w:rsidR="003C24D9" w:rsidRPr="00694A40">
        <w:rPr>
          <w:rFonts w:ascii="Arial" w:hAnsi="Arial" w:cs="Arial"/>
        </w:rPr>
        <w:t xml:space="preserve"> a pre financovanie</w:t>
      </w:r>
      <w:r w:rsidR="003C24D9">
        <w:rPr>
          <w:rFonts w:ascii="Arial" w:hAnsi="Arial" w:cs="Arial"/>
        </w:rPr>
        <w:t xml:space="preserve"> investícií do hmotných a nehmotných aktív </w:t>
      </w:r>
      <w:r w:rsidR="00841B24">
        <w:rPr>
          <w:rFonts w:ascii="Arial" w:hAnsi="Arial" w:cs="Arial"/>
        </w:rPr>
        <w:t xml:space="preserve">taktiež </w:t>
      </w:r>
      <w:r w:rsidR="003C24D9">
        <w:rPr>
          <w:rFonts w:ascii="Arial" w:hAnsi="Arial" w:cs="Arial"/>
        </w:rPr>
        <w:t>minimálne 180 dní</w:t>
      </w:r>
      <w:r w:rsidRPr="005545FF">
        <w:rPr>
          <w:rFonts w:ascii="Arial" w:hAnsi="Arial" w:cs="Arial"/>
        </w:rPr>
        <w:t>, pričom úver nemôže prekročiť ekonomickú a technickú životnosť financovaného projektu (v prípade investície do fixných aktív). Finančné prostriedky EIB môžu byť použité pre financovanie prevádzkového kapitálu na revolvingovej báze</w:t>
      </w:r>
      <w:r w:rsidR="003C24D9">
        <w:rPr>
          <w:rFonts w:ascii="Arial" w:hAnsi="Arial" w:cs="Arial"/>
        </w:rPr>
        <w:t>.</w:t>
      </w:r>
      <w:r w:rsidRPr="005545FF">
        <w:rPr>
          <w:rFonts w:ascii="Arial" w:hAnsi="Arial" w:cs="Arial"/>
        </w:rPr>
        <w:t xml:space="preserve"> </w:t>
      </w:r>
      <w:r w:rsidR="0097112B" w:rsidRPr="00217134">
        <w:rPr>
          <w:rFonts w:ascii="Arial" w:hAnsi="Arial" w:cs="Arial"/>
        </w:rPr>
        <w:t xml:space="preserve">Maximálna splatnosť úveru </w:t>
      </w:r>
      <w:r w:rsidR="00FF342B" w:rsidRPr="00217134">
        <w:rPr>
          <w:rFonts w:ascii="Arial" w:hAnsi="Arial" w:cs="Arial"/>
        </w:rPr>
        <w:t xml:space="preserve">pre </w:t>
      </w:r>
      <w:r w:rsidR="00532680" w:rsidRPr="00217134">
        <w:rPr>
          <w:rFonts w:ascii="Arial" w:hAnsi="Arial" w:cs="Arial"/>
        </w:rPr>
        <w:t xml:space="preserve">financovanie prevádzkového </w:t>
      </w:r>
      <w:r w:rsidR="00FF342B" w:rsidRPr="00217134">
        <w:rPr>
          <w:rFonts w:ascii="Arial" w:hAnsi="Arial" w:cs="Arial"/>
        </w:rPr>
        <w:t xml:space="preserve">kapitálu sú 2 roky a pre financovanie investícií do hmotných a nehmotných aktív </w:t>
      </w:r>
      <w:r w:rsidR="00DA1CAF" w:rsidRPr="00217134">
        <w:rPr>
          <w:rFonts w:ascii="Arial" w:hAnsi="Arial" w:cs="Arial"/>
        </w:rPr>
        <w:t xml:space="preserve">je </w:t>
      </w:r>
      <w:r w:rsidR="00694A40" w:rsidRPr="00217134">
        <w:rPr>
          <w:rFonts w:ascii="Arial" w:hAnsi="Arial" w:cs="Arial"/>
        </w:rPr>
        <w:t>7</w:t>
      </w:r>
      <w:r w:rsidR="00FF342B" w:rsidRPr="00217134">
        <w:rPr>
          <w:rFonts w:ascii="Arial" w:hAnsi="Arial" w:cs="Arial"/>
        </w:rPr>
        <w:t xml:space="preserve"> rokov</w:t>
      </w:r>
      <w:r w:rsidR="00694A40" w:rsidRPr="00217134">
        <w:rPr>
          <w:rFonts w:ascii="Arial" w:hAnsi="Arial" w:cs="Arial"/>
        </w:rPr>
        <w:t xml:space="preserve">, pričom zvýhodnené podmienky financovania môžu byť </w:t>
      </w:r>
      <w:r w:rsidR="00415E9E" w:rsidRPr="00217134">
        <w:rPr>
          <w:rFonts w:ascii="Arial" w:hAnsi="Arial" w:cs="Arial"/>
        </w:rPr>
        <w:t>poskytované maximálne 5 rokov</w:t>
      </w:r>
      <w:r w:rsidR="00FF342B" w:rsidRPr="00217134">
        <w:rPr>
          <w:rFonts w:ascii="Arial" w:hAnsi="Arial" w:cs="Arial"/>
        </w:rPr>
        <w:t>.</w:t>
      </w:r>
      <w:r w:rsidR="00FF342B">
        <w:rPr>
          <w:rFonts w:ascii="Arial" w:hAnsi="Arial" w:cs="Arial"/>
        </w:rPr>
        <w:t xml:space="preserve"> </w:t>
      </w:r>
    </w:p>
    <w:p w:rsidR="008A7D98" w:rsidRDefault="00234954" w:rsidP="00A508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Maximálna </w:t>
      </w:r>
      <w:r w:rsidR="009B7403">
        <w:rPr>
          <w:rFonts w:ascii="Arial" w:hAnsi="Arial" w:cs="Arial"/>
        </w:rPr>
        <w:t>akceptovaná</w:t>
      </w:r>
      <w:r>
        <w:rPr>
          <w:rFonts w:ascii="Arial" w:hAnsi="Arial" w:cs="Arial"/>
        </w:rPr>
        <w:t xml:space="preserve"> doba implementácie projektu predstavuje 3 roky.  </w:t>
      </w:r>
      <w:r w:rsidR="00950CD0" w:rsidRPr="005545FF">
        <w:rPr>
          <w:rFonts w:ascii="Arial" w:hAnsi="Arial" w:cs="Arial"/>
        </w:rPr>
        <w:t xml:space="preserve"> </w:t>
      </w:r>
    </w:p>
    <w:p w:rsidR="00AD2A80" w:rsidRPr="00E050A6" w:rsidRDefault="00170791" w:rsidP="005545FF">
      <w:pPr>
        <w:pStyle w:val="Odsekzoznamu"/>
        <w:numPr>
          <w:ilvl w:val="0"/>
          <w:numId w:val="18"/>
        </w:numPr>
        <w:tabs>
          <w:tab w:val="left" w:pos="426"/>
        </w:tabs>
        <w:ind w:hanging="720"/>
        <w:jc w:val="both"/>
        <w:rPr>
          <w:rFonts w:ascii="Arial" w:hAnsi="Arial" w:cs="Arial"/>
          <w:b/>
        </w:rPr>
      </w:pPr>
      <w:r w:rsidRPr="00E050A6">
        <w:rPr>
          <w:rFonts w:ascii="Arial" w:hAnsi="Arial" w:cs="Arial"/>
          <w:b/>
        </w:rPr>
        <w:t>Ďalšie požiadavky</w:t>
      </w:r>
    </w:p>
    <w:p w:rsidR="005545FF" w:rsidRPr="005545FF" w:rsidRDefault="005545FF" w:rsidP="005545FF">
      <w:pPr>
        <w:pStyle w:val="Odsekzoznamu"/>
        <w:tabs>
          <w:tab w:val="left" w:pos="426"/>
        </w:tabs>
        <w:jc w:val="both"/>
        <w:rPr>
          <w:rFonts w:ascii="Arial" w:hAnsi="Arial" w:cs="Arial"/>
          <w:b/>
        </w:rPr>
      </w:pPr>
    </w:p>
    <w:p w:rsidR="00170791" w:rsidRDefault="00170791" w:rsidP="00667CF0">
      <w:pPr>
        <w:pStyle w:val="Odsekzoznamu"/>
        <w:numPr>
          <w:ilvl w:val="0"/>
          <w:numId w:val="12"/>
        </w:numPr>
        <w:ind w:left="284" w:hanging="284"/>
        <w:jc w:val="both"/>
        <w:rPr>
          <w:rFonts w:ascii="Arial" w:hAnsi="Arial" w:cs="Arial"/>
        </w:rPr>
      </w:pPr>
      <w:r w:rsidRPr="00667CF0">
        <w:rPr>
          <w:rFonts w:ascii="Arial" w:hAnsi="Arial" w:cs="Arial"/>
        </w:rPr>
        <w:t>dlžník má sídlo v SR alebo v inom členskom štáte EÚ a podniká alebo pôsobí na území SR alebo iného členského štátu EÚ,</w:t>
      </w:r>
    </w:p>
    <w:p w:rsidR="00170791" w:rsidRDefault="00170791" w:rsidP="00170791">
      <w:pPr>
        <w:pStyle w:val="Odsekzoznamu"/>
        <w:numPr>
          <w:ilvl w:val="0"/>
          <w:numId w:val="12"/>
        </w:numPr>
        <w:ind w:left="284" w:hanging="284"/>
        <w:jc w:val="both"/>
        <w:rPr>
          <w:rFonts w:ascii="Arial" w:hAnsi="Arial" w:cs="Arial"/>
        </w:rPr>
      </w:pPr>
      <w:r w:rsidRPr="00667CF0">
        <w:rPr>
          <w:rFonts w:ascii="Arial" w:hAnsi="Arial" w:cs="Arial"/>
        </w:rPr>
        <w:t>financovaný projekt bude umi</w:t>
      </w:r>
      <w:r w:rsidR="00667CF0">
        <w:rPr>
          <w:rFonts w:ascii="Arial" w:hAnsi="Arial" w:cs="Arial"/>
        </w:rPr>
        <w:t>estnený/realizovaný v SR</w:t>
      </w:r>
      <w:r w:rsidRPr="00667CF0">
        <w:rPr>
          <w:rFonts w:ascii="Arial" w:hAnsi="Arial" w:cs="Arial"/>
        </w:rPr>
        <w:t xml:space="preserve">, prípadne v inom členskom štáte EÚ, </w:t>
      </w:r>
    </w:p>
    <w:p w:rsidR="00170791" w:rsidRDefault="00170791" w:rsidP="00170791">
      <w:pPr>
        <w:pStyle w:val="Odsekzoznamu"/>
        <w:numPr>
          <w:ilvl w:val="0"/>
          <w:numId w:val="12"/>
        </w:numPr>
        <w:ind w:left="284" w:hanging="284"/>
        <w:jc w:val="both"/>
        <w:rPr>
          <w:rFonts w:ascii="Arial" w:hAnsi="Arial" w:cs="Arial"/>
        </w:rPr>
      </w:pPr>
      <w:r w:rsidRPr="00A90612">
        <w:rPr>
          <w:rFonts w:ascii="Arial" w:hAnsi="Arial" w:cs="Arial"/>
        </w:rPr>
        <w:t>financovaný projekt je realizovaný v súlade s právny</w:t>
      </w:r>
      <w:r w:rsidR="00A90612">
        <w:rPr>
          <w:rFonts w:ascii="Arial" w:hAnsi="Arial" w:cs="Arial"/>
        </w:rPr>
        <w:t>m poriadkom SR</w:t>
      </w:r>
      <w:r w:rsidRPr="00A90612">
        <w:rPr>
          <w:rFonts w:ascii="Arial" w:hAnsi="Arial" w:cs="Arial"/>
        </w:rPr>
        <w:t xml:space="preserve">/EÚ a spôsobilý na financovanie zo strany EIB so zreteľom na štatút EIB a ustanovenia článku 309 Zmluvy o fungovaní EÚ.  </w:t>
      </w:r>
    </w:p>
    <w:p w:rsidR="008A7D98" w:rsidRDefault="008A7D98" w:rsidP="008A7D98">
      <w:pPr>
        <w:pStyle w:val="Odsekzoznamu"/>
        <w:ind w:left="284"/>
        <w:jc w:val="both"/>
        <w:rPr>
          <w:rFonts w:ascii="Arial" w:hAnsi="Arial" w:cs="Arial"/>
        </w:rPr>
      </w:pPr>
    </w:p>
    <w:p w:rsidR="002011C4" w:rsidRPr="00E050A6" w:rsidRDefault="00FB05E2" w:rsidP="00AE2FA0">
      <w:pPr>
        <w:pStyle w:val="Odsekzoznamu"/>
        <w:numPr>
          <w:ilvl w:val="0"/>
          <w:numId w:val="18"/>
        </w:numPr>
        <w:ind w:left="426" w:hanging="426"/>
        <w:jc w:val="both"/>
        <w:rPr>
          <w:rFonts w:ascii="Arial" w:hAnsi="Arial" w:cs="Arial"/>
          <w:b/>
        </w:rPr>
      </w:pPr>
      <w:r w:rsidRPr="00E050A6">
        <w:rPr>
          <w:rFonts w:ascii="Arial" w:hAnsi="Arial" w:cs="Arial"/>
          <w:b/>
        </w:rPr>
        <w:t>Spôsobilé</w:t>
      </w:r>
      <w:r w:rsidR="00FA306C" w:rsidRPr="00E050A6">
        <w:rPr>
          <w:rFonts w:ascii="Arial" w:hAnsi="Arial" w:cs="Arial"/>
          <w:b/>
        </w:rPr>
        <w:t xml:space="preserve"> kategórie nákladov</w:t>
      </w:r>
      <w:r w:rsidR="00722898" w:rsidRPr="00E050A6">
        <w:rPr>
          <w:rFonts w:ascii="Arial" w:hAnsi="Arial" w:cs="Arial"/>
          <w:b/>
        </w:rPr>
        <w:t xml:space="preserve"> a</w:t>
      </w:r>
      <w:r w:rsidR="00AE2FA0" w:rsidRPr="00E050A6">
        <w:rPr>
          <w:rFonts w:ascii="Arial" w:hAnsi="Arial" w:cs="Arial"/>
          <w:b/>
        </w:rPr>
        <w:t> </w:t>
      </w:r>
      <w:r w:rsidR="00722898" w:rsidRPr="00E050A6">
        <w:rPr>
          <w:rFonts w:ascii="Arial" w:hAnsi="Arial" w:cs="Arial"/>
          <w:b/>
        </w:rPr>
        <w:t>projekty</w:t>
      </w:r>
    </w:p>
    <w:p w:rsidR="00AE2FA0" w:rsidRPr="00AE2FA0" w:rsidRDefault="00AE2FA0" w:rsidP="00AE2FA0">
      <w:pPr>
        <w:pStyle w:val="Odsekzoznamu"/>
        <w:ind w:left="426"/>
        <w:jc w:val="both"/>
        <w:rPr>
          <w:rFonts w:ascii="Arial" w:hAnsi="Arial" w:cs="Arial"/>
          <w:b/>
        </w:rPr>
      </w:pPr>
    </w:p>
    <w:p w:rsidR="00FA306C" w:rsidRPr="003D2131" w:rsidRDefault="00FA306C" w:rsidP="00656AB2">
      <w:pPr>
        <w:pStyle w:val="Odsekzoznamu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3D2131">
        <w:rPr>
          <w:rFonts w:ascii="Arial" w:hAnsi="Arial" w:cs="Arial"/>
        </w:rPr>
        <w:t xml:space="preserve">nákup, obnova, rozširovanie hmotných aktív, vrátane </w:t>
      </w:r>
      <w:r w:rsidR="00591947" w:rsidRPr="003D2131">
        <w:rPr>
          <w:rFonts w:ascii="Arial" w:hAnsi="Arial" w:cs="Arial"/>
        </w:rPr>
        <w:t xml:space="preserve">nákladov na </w:t>
      </w:r>
      <w:r w:rsidRPr="003D2131">
        <w:rPr>
          <w:rFonts w:ascii="Arial" w:hAnsi="Arial" w:cs="Arial"/>
        </w:rPr>
        <w:t xml:space="preserve">rozvoj </w:t>
      </w:r>
      <w:r w:rsidR="00690821" w:rsidRPr="003D2131">
        <w:rPr>
          <w:rFonts w:ascii="Arial" w:hAnsi="Arial" w:cs="Arial"/>
        </w:rPr>
        <w:t>a plánovani</w:t>
      </w:r>
      <w:r w:rsidR="00591947" w:rsidRPr="003D2131">
        <w:rPr>
          <w:rFonts w:ascii="Arial" w:hAnsi="Arial" w:cs="Arial"/>
        </w:rPr>
        <w:t>e</w:t>
      </w:r>
      <w:r w:rsidR="00690821" w:rsidRPr="003D2131">
        <w:rPr>
          <w:rFonts w:ascii="Arial" w:hAnsi="Arial" w:cs="Arial"/>
        </w:rPr>
        <w:t xml:space="preserve"> počas etapy výstavby; náklady na financovanie počas etapy výstavby do 10 % celkových nákladov na projekt; financovanie nákupu pôdy</w:t>
      </w:r>
      <w:r w:rsidR="00FF342B">
        <w:rPr>
          <w:rFonts w:ascii="Arial" w:hAnsi="Arial" w:cs="Arial"/>
        </w:rPr>
        <w:t xml:space="preserve"> (pri financovaní investície v</w:t>
      </w:r>
      <w:r w:rsidR="00B3476D">
        <w:rPr>
          <w:rFonts w:ascii="Arial" w:hAnsi="Arial" w:cs="Arial"/>
        </w:rPr>
        <w:t> </w:t>
      </w:r>
      <w:r w:rsidR="00FF342B">
        <w:rPr>
          <w:rFonts w:ascii="Arial" w:hAnsi="Arial" w:cs="Arial"/>
        </w:rPr>
        <w:t>zahraničí</w:t>
      </w:r>
      <w:r w:rsidR="00B3476D">
        <w:rPr>
          <w:rFonts w:ascii="Arial" w:hAnsi="Arial" w:cs="Arial"/>
        </w:rPr>
        <w:t xml:space="preserve"> – </w:t>
      </w:r>
      <w:r w:rsidR="00B3476D" w:rsidRPr="004640C7">
        <w:rPr>
          <w:rFonts w:ascii="Arial" w:hAnsi="Arial" w:cs="Arial"/>
        </w:rPr>
        <w:t>podmienka stanovená EXIMBANKOU SR</w:t>
      </w:r>
      <w:r w:rsidR="00FF342B" w:rsidRPr="004640C7">
        <w:rPr>
          <w:rFonts w:ascii="Arial" w:hAnsi="Arial" w:cs="Arial"/>
        </w:rPr>
        <w:t>)</w:t>
      </w:r>
      <w:r w:rsidR="00690821" w:rsidRPr="004640C7">
        <w:rPr>
          <w:rFonts w:ascii="Arial" w:hAnsi="Arial" w:cs="Arial"/>
        </w:rPr>
        <w:t>, ktorá je technicky nevyhnutná pre</w:t>
      </w:r>
      <w:r w:rsidR="00DD14A3" w:rsidRPr="004640C7">
        <w:rPr>
          <w:rFonts w:ascii="Arial" w:hAnsi="Arial" w:cs="Arial"/>
        </w:rPr>
        <w:t xml:space="preserve"> reali</w:t>
      </w:r>
      <w:r w:rsidR="002421F4" w:rsidRPr="004640C7">
        <w:rPr>
          <w:rFonts w:ascii="Arial" w:hAnsi="Arial" w:cs="Arial"/>
        </w:rPr>
        <w:t>záciu</w:t>
      </w:r>
      <w:r w:rsidR="002421F4" w:rsidRPr="003D2131">
        <w:rPr>
          <w:rFonts w:ascii="Arial" w:hAnsi="Arial" w:cs="Arial"/>
        </w:rPr>
        <w:t xml:space="preserve"> </w:t>
      </w:r>
      <w:r w:rsidR="00DD14A3" w:rsidRPr="003D2131">
        <w:rPr>
          <w:rFonts w:ascii="Arial" w:hAnsi="Arial" w:cs="Arial"/>
        </w:rPr>
        <w:t>investície a to</w:t>
      </w:r>
      <w:r w:rsidR="00690821" w:rsidRPr="003D2131">
        <w:rPr>
          <w:rFonts w:ascii="Arial" w:hAnsi="Arial" w:cs="Arial"/>
        </w:rPr>
        <w:t xml:space="preserve"> </w:t>
      </w:r>
      <w:r w:rsidR="00D0714A" w:rsidRPr="003D2131">
        <w:rPr>
          <w:rFonts w:ascii="Arial" w:hAnsi="Arial" w:cs="Arial"/>
        </w:rPr>
        <w:t xml:space="preserve">do výšky 10 % celkových </w:t>
      </w:r>
      <w:r w:rsidR="00FF342B">
        <w:rPr>
          <w:rFonts w:ascii="Arial" w:hAnsi="Arial" w:cs="Arial"/>
        </w:rPr>
        <w:t>nákladov na projekt,</w:t>
      </w:r>
    </w:p>
    <w:p w:rsidR="00D10497" w:rsidRPr="003D2131" w:rsidRDefault="00D10497" w:rsidP="00D10497">
      <w:pPr>
        <w:pStyle w:val="Odsekzoznamu"/>
        <w:ind w:left="284"/>
        <w:jc w:val="both"/>
        <w:rPr>
          <w:rFonts w:ascii="Arial" w:hAnsi="Arial" w:cs="Arial"/>
        </w:rPr>
      </w:pPr>
    </w:p>
    <w:p w:rsidR="00A00F8F" w:rsidRPr="00FF342B" w:rsidRDefault="00986B8C" w:rsidP="00FF342B">
      <w:pPr>
        <w:pStyle w:val="Odsekzoznamu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3D2131">
        <w:rPr>
          <w:rFonts w:ascii="Arial" w:hAnsi="Arial" w:cs="Arial"/>
        </w:rPr>
        <w:t>i</w:t>
      </w:r>
      <w:r w:rsidR="00D0714A" w:rsidRPr="003D2131">
        <w:rPr>
          <w:rFonts w:ascii="Arial" w:hAnsi="Arial" w:cs="Arial"/>
        </w:rPr>
        <w:t>nvestície do nehmotných aktív, t.j.</w:t>
      </w:r>
      <w:r w:rsidR="00D10497" w:rsidRPr="003D2131">
        <w:rPr>
          <w:rFonts w:ascii="Arial" w:hAnsi="Arial" w:cs="Arial"/>
        </w:rPr>
        <w:t xml:space="preserve"> </w:t>
      </w:r>
      <w:r w:rsidR="00A00F8F" w:rsidRPr="00FF342B">
        <w:rPr>
          <w:rFonts w:ascii="Arial" w:hAnsi="Arial" w:cs="Arial"/>
        </w:rPr>
        <w:t>nákup spracovateľských licencií, softvéru a iných práv a aktív s</w:t>
      </w:r>
      <w:r w:rsidRPr="00FF342B">
        <w:rPr>
          <w:rFonts w:ascii="Arial" w:hAnsi="Arial" w:cs="Arial"/>
        </w:rPr>
        <w:t>úvisiacich s</w:t>
      </w:r>
      <w:r w:rsidR="00A00F8F" w:rsidRPr="00FF342B">
        <w:rPr>
          <w:rFonts w:ascii="Arial" w:hAnsi="Arial" w:cs="Arial"/>
        </w:rPr>
        <w:t xml:space="preserve"> vlastnou výrobnou kapacitou, </w:t>
      </w:r>
    </w:p>
    <w:p w:rsidR="00986B8C" w:rsidRPr="00A217C6" w:rsidRDefault="00986B8C" w:rsidP="00986B8C">
      <w:pPr>
        <w:pStyle w:val="Odsekzoznamu"/>
        <w:jc w:val="both"/>
        <w:rPr>
          <w:rFonts w:ascii="Arial" w:hAnsi="Arial" w:cs="Arial"/>
        </w:rPr>
      </w:pPr>
    </w:p>
    <w:p w:rsidR="00FA306C" w:rsidRPr="00A217C6" w:rsidRDefault="00986B8C" w:rsidP="00D10497">
      <w:pPr>
        <w:pStyle w:val="Odsekzoznamu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A217C6">
        <w:rPr>
          <w:rFonts w:ascii="Arial" w:hAnsi="Arial" w:cs="Arial"/>
        </w:rPr>
        <w:t>prevádzkový kapitál</w:t>
      </w:r>
      <w:r w:rsidR="001E49ED">
        <w:rPr>
          <w:rFonts w:ascii="Arial" w:hAnsi="Arial" w:cs="Arial"/>
        </w:rPr>
        <w:t xml:space="preserve"> </w:t>
      </w:r>
    </w:p>
    <w:p w:rsidR="005F4D37" w:rsidRPr="00A217C6" w:rsidRDefault="00986B8C" w:rsidP="00D10497">
      <w:pPr>
        <w:ind w:left="284"/>
        <w:jc w:val="both"/>
        <w:rPr>
          <w:rFonts w:ascii="Arial" w:hAnsi="Arial" w:cs="Arial"/>
        </w:rPr>
      </w:pPr>
      <w:r w:rsidRPr="00FD460C">
        <w:rPr>
          <w:rFonts w:ascii="Arial" w:hAnsi="Arial" w:cs="Arial"/>
        </w:rPr>
        <w:t>Financovanie prevádzkového kapitálu potrebného na prevádzkovú činnosť</w:t>
      </w:r>
      <w:r w:rsidR="001F3B04" w:rsidRPr="00FD460C">
        <w:rPr>
          <w:rFonts w:ascii="Arial" w:hAnsi="Arial" w:cs="Arial"/>
        </w:rPr>
        <w:t>, napr. obežné aktíva ako zásoby (základný materiál/suroviny, suroviny v spracovaní a hotové výrobky)</w:t>
      </w:r>
      <w:r w:rsidR="005F4D37" w:rsidRPr="00FD460C">
        <w:rPr>
          <w:rFonts w:ascii="Arial" w:hAnsi="Arial" w:cs="Arial"/>
        </w:rPr>
        <w:t xml:space="preserve"> a taktiež</w:t>
      </w:r>
      <w:r w:rsidR="001F3B04" w:rsidRPr="00FD460C">
        <w:rPr>
          <w:rFonts w:ascii="Arial" w:hAnsi="Arial" w:cs="Arial"/>
        </w:rPr>
        <w:t xml:space="preserve"> pohľadávky voči odberateľom</w:t>
      </w:r>
      <w:r w:rsidR="00A33F89" w:rsidRPr="00FD460C">
        <w:rPr>
          <w:rFonts w:ascii="Arial" w:hAnsi="Arial" w:cs="Arial"/>
        </w:rPr>
        <w:t xml:space="preserve">, </w:t>
      </w:r>
      <w:r w:rsidR="00FD460C" w:rsidRPr="00FD460C">
        <w:rPr>
          <w:rFonts w:ascii="Arial" w:hAnsi="Arial" w:cs="Arial"/>
        </w:rPr>
        <w:t>vrátane takéhoto financovania poskytovaného</w:t>
      </w:r>
      <w:r w:rsidR="00A33F89" w:rsidRPr="00FD460C">
        <w:rPr>
          <w:rFonts w:ascii="Arial" w:hAnsi="Arial" w:cs="Arial"/>
        </w:rPr>
        <w:t xml:space="preserve"> EXIMBANK</w:t>
      </w:r>
      <w:r w:rsidR="00FD460C" w:rsidRPr="00FD460C">
        <w:rPr>
          <w:rFonts w:ascii="Arial" w:hAnsi="Arial" w:cs="Arial"/>
        </w:rPr>
        <w:t>OU</w:t>
      </w:r>
      <w:r w:rsidR="00A33F89" w:rsidRPr="00FD460C">
        <w:rPr>
          <w:rFonts w:ascii="Arial" w:hAnsi="Arial" w:cs="Arial"/>
        </w:rPr>
        <w:t xml:space="preserve"> SR klientovi </w:t>
      </w:r>
      <w:r w:rsidR="001F3B04" w:rsidRPr="00FD460C">
        <w:rPr>
          <w:rFonts w:ascii="Arial" w:hAnsi="Arial" w:cs="Arial"/>
        </w:rPr>
        <w:t>na revolvingovej báze za podmienky, že takéto financovanie je viazané na obdobie minimálne 180 dní</w:t>
      </w:r>
      <w:r w:rsidR="00841B24">
        <w:rPr>
          <w:rFonts w:ascii="Arial" w:hAnsi="Arial" w:cs="Arial"/>
        </w:rPr>
        <w:t>.</w:t>
      </w:r>
      <w:r w:rsidR="00FD460C" w:rsidRPr="00FD460C">
        <w:rPr>
          <w:rFonts w:ascii="Arial" w:hAnsi="Arial" w:cs="Arial"/>
        </w:rPr>
        <w:t xml:space="preserve"> </w:t>
      </w:r>
    </w:p>
    <w:p w:rsidR="001E49ED" w:rsidRPr="00A217C6" w:rsidRDefault="00D11C60" w:rsidP="001E49ED">
      <w:pPr>
        <w:ind w:left="284"/>
        <w:jc w:val="both"/>
        <w:rPr>
          <w:rFonts w:ascii="Arial" w:hAnsi="Arial" w:cs="Arial"/>
        </w:rPr>
      </w:pPr>
      <w:r w:rsidRPr="00A217C6">
        <w:rPr>
          <w:rFonts w:ascii="Arial" w:hAnsi="Arial" w:cs="Arial"/>
        </w:rPr>
        <w:lastRenderedPageBreak/>
        <w:t xml:space="preserve">DPH </w:t>
      </w:r>
      <w:r w:rsidR="003958BF" w:rsidRPr="00A217C6">
        <w:rPr>
          <w:rFonts w:ascii="Arial" w:hAnsi="Arial" w:cs="Arial"/>
        </w:rPr>
        <w:t>nákladový komponent</w:t>
      </w:r>
      <w:r w:rsidRPr="00A217C6">
        <w:rPr>
          <w:rFonts w:ascii="Arial" w:hAnsi="Arial" w:cs="Arial"/>
        </w:rPr>
        <w:t xml:space="preserve"> prevádzkového kapitálu pri financovaní projektu nie je vo svojej podstate oprávnený. </w:t>
      </w:r>
      <w:r w:rsidRPr="008B6334">
        <w:rPr>
          <w:rFonts w:ascii="Arial" w:hAnsi="Arial" w:cs="Arial"/>
        </w:rPr>
        <w:t xml:space="preserve">DPH sa však môže zahrnúť do </w:t>
      </w:r>
      <w:r w:rsidR="003958BF" w:rsidRPr="008B6334">
        <w:rPr>
          <w:rFonts w:ascii="Arial" w:hAnsi="Arial" w:cs="Arial"/>
        </w:rPr>
        <w:t>financovania prevádzkového kapitálu,</w:t>
      </w:r>
      <w:r w:rsidR="009A7156" w:rsidRPr="008B6334">
        <w:rPr>
          <w:rFonts w:ascii="Arial" w:hAnsi="Arial" w:cs="Arial"/>
        </w:rPr>
        <w:t xml:space="preserve"> maximálne </w:t>
      </w:r>
      <w:r w:rsidR="008B6334" w:rsidRPr="008B6334">
        <w:rPr>
          <w:rFonts w:ascii="Arial" w:hAnsi="Arial" w:cs="Arial"/>
        </w:rPr>
        <w:t xml:space="preserve">však do </w:t>
      </w:r>
      <w:r w:rsidR="003958BF" w:rsidRPr="008B6334">
        <w:rPr>
          <w:rFonts w:ascii="Arial" w:hAnsi="Arial" w:cs="Arial"/>
        </w:rPr>
        <w:t xml:space="preserve">85 % </w:t>
      </w:r>
      <w:r w:rsidR="009A7156" w:rsidRPr="008B6334">
        <w:rPr>
          <w:rFonts w:ascii="Arial" w:hAnsi="Arial" w:cs="Arial"/>
        </w:rPr>
        <w:t>hodnoty financovania</w:t>
      </w:r>
      <w:r w:rsidR="002421F4" w:rsidRPr="008B6334">
        <w:rPr>
          <w:rFonts w:ascii="Arial" w:hAnsi="Arial" w:cs="Arial"/>
        </w:rPr>
        <w:t>.</w:t>
      </w:r>
      <w:r w:rsidR="002421F4" w:rsidRPr="00A217C6">
        <w:rPr>
          <w:rFonts w:ascii="Arial" w:hAnsi="Arial" w:cs="Arial"/>
        </w:rPr>
        <w:t xml:space="preserve"> </w:t>
      </w:r>
    </w:p>
    <w:p w:rsidR="001B70D6" w:rsidRPr="001B70D6" w:rsidRDefault="00FB05E2" w:rsidP="00FB05E2">
      <w:pPr>
        <w:jc w:val="both"/>
        <w:rPr>
          <w:rFonts w:ascii="Arial" w:hAnsi="Arial" w:cs="Arial"/>
          <w:vertAlign w:val="subscript"/>
        </w:rPr>
      </w:pPr>
      <w:r w:rsidRPr="00A217C6">
        <w:rPr>
          <w:rFonts w:ascii="Arial" w:hAnsi="Arial" w:cs="Arial"/>
        </w:rPr>
        <w:t>Spôsobilé projekty musia byť ekonomicky, enviro</w:t>
      </w:r>
      <w:r w:rsidR="004640C7">
        <w:rPr>
          <w:rFonts w:ascii="Arial" w:hAnsi="Arial" w:cs="Arial"/>
        </w:rPr>
        <w:t>n</w:t>
      </w:r>
      <w:r w:rsidRPr="00A217C6">
        <w:rPr>
          <w:rFonts w:ascii="Arial" w:hAnsi="Arial" w:cs="Arial"/>
        </w:rPr>
        <w:t>mentálne, technicky a finančn</w:t>
      </w:r>
      <w:r w:rsidR="00323179">
        <w:rPr>
          <w:rFonts w:ascii="Arial" w:hAnsi="Arial" w:cs="Arial"/>
        </w:rPr>
        <w:t>e</w:t>
      </w:r>
      <w:r w:rsidRPr="00A217C6">
        <w:rPr>
          <w:rFonts w:ascii="Arial" w:hAnsi="Arial" w:cs="Arial"/>
        </w:rPr>
        <w:t xml:space="preserve"> zdravé a ak sú súčasťou väčšej investície, tak musia byť sebestačné a technicky a ekonomicky životaschopné</w:t>
      </w:r>
      <w:r w:rsidRPr="00415E9E">
        <w:rPr>
          <w:rFonts w:ascii="Arial" w:hAnsi="Arial" w:cs="Arial"/>
        </w:rPr>
        <w:t>. Osobné vozidlá a ľahké nákladné vozidlá môžu byť predmetom</w:t>
      </w:r>
      <w:r w:rsidRPr="00A217C6">
        <w:rPr>
          <w:rFonts w:ascii="Arial" w:hAnsi="Arial" w:cs="Arial"/>
        </w:rPr>
        <w:t xml:space="preserve"> financovania ak sú využívané primárne pre obchodné účely </w:t>
      </w:r>
      <w:r w:rsidR="005779FC">
        <w:rPr>
          <w:rFonts w:ascii="Arial" w:hAnsi="Arial" w:cs="Arial"/>
        </w:rPr>
        <w:t>a spĺňajú požadované emisie CO</w:t>
      </w:r>
      <w:r w:rsidR="005779FC">
        <w:rPr>
          <w:rFonts w:ascii="Arial" w:hAnsi="Arial" w:cs="Arial"/>
          <w:vertAlign w:val="subscript"/>
        </w:rPr>
        <w:t xml:space="preserve">2. </w:t>
      </w:r>
    </w:p>
    <w:p w:rsidR="00C044EA" w:rsidRPr="001B2920" w:rsidRDefault="006D4E54" w:rsidP="001B2920">
      <w:pPr>
        <w:pStyle w:val="Odsekzoznamu"/>
        <w:numPr>
          <w:ilvl w:val="0"/>
          <w:numId w:val="18"/>
        </w:numPr>
        <w:ind w:left="426" w:hanging="426"/>
        <w:jc w:val="both"/>
        <w:rPr>
          <w:rFonts w:ascii="Arial" w:hAnsi="Arial" w:cs="Arial"/>
          <w:b/>
        </w:rPr>
      </w:pPr>
      <w:r w:rsidRPr="001B2920">
        <w:rPr>
          <w:rFonts w:ascii="Arial" w:hAnsi="Arial" w:cs="Arial"/>
          <w:b/>
        </w:rPr>
        <w:t xml:space="preserve">Vylúčené subjekty, </w:t>
      </w:r>
      <w:r w:rsidR="00C044EA" w:rsidRPr="001B2920">
        <w:rPr>
          <w:rFonts w:ascii="Arial" w:hAnsi="Arial" w:cs="Arial"/>
          <w:b/>
        </w:rPr>
        <w:t xml:space="preserve">sektory </w:t>
      </w:r>
      <w:r w:rsidRPr="001B2920">
        <w:rPr>
          <w:rFonts w:ascii="Arial" w:hAnsi="Arial" w:cs="Arial"/>
          <w:b/>
        </w:rPr>
        <w:t>a aktivity</w:t>
      </w:r>
      <w:r w:rsidR="00722898" w:rsidRPr="001B2920">
        <w:rPr>
          <w:rFonts w:ascii="Arial" w:hAnsi="Arial" w:cs="Arial"/>
          <w:b/>
        </w:rPr>
        <w:t xml:space="preserve"> z</w:t>
      </w:r>
      <w:r w:rsidR="00614B0E" w:rsidRPr="001B2920">
        <w:rPr>
          <w:rFonts w:ascii="Arial" w:hAnsi="Arial" w:cs="Arial"/>
          <w:b/>
        </w:rPr>
        <w:t> </w:t>
      </w:r>
      <w:r w:rsidR="00722898" w:rsidRPr="001B2920">
        <w:rPr>
          <w:rFonts w:ascii="Arial" w:hAnsi="Arial" w:cs="Arial"/>
          <w:b/>
        </w:rPr>
        <w:t>financovania</w:t>
      </w:r>
    </w:p>
    <w:p w:rsidR="00614B0E" w:rsidRPr="00A217C6" w:rsidRDefault="00614B0E">
      <w:pPr>
        <w:rPr>
          <w:rFonts w:ascii="Arial" w:hAnsi="Arial" w:cs="Arial"/>
          <w:u w:val="single"/>
        </w:rPr>
      </w:pPr>
      <w:r w:rsidRPr="00A217C6">
        <w:rPr>
          <w:rFonts w:ascii="Arial" w:hAnsi="Arial" w:cs="Arial"/>
          <w:u w:val="single"/>
        </w:rPr>
        <w:t>Vylúčené subjekty a sektory</w:t>
      </w:r>
    </w:p>
    <w:p w:rsidR="00C044EA" w:rsidRDefault="00801D91" w:rsidP="00C044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Spoločnosti</w:t>
      </w:r>
      <w:r w:rsidR="00C044EA" w:rsidRPr="00A217C6">
        <w:rPr>
          <w:rFonts w:ascii="Arial" w:hAnsi="Arial" w:cs="Arial"/>
        </w:rPr>
        <w:t xml:space="preserve"> v akomkoľvek sektore sú </w:t>
      </w:r>
      <w:r w:rsidR="00A608D0">
        <w:rPr>
          <w:rFonts w:ascii="Arial" w:hAnsi="Arial" w:cs="Arial"/>
        </w:rPr>
        <w:t>spôsobil</w:t>
      </w:r>
      <w:r>
        <w:rPr>
          <w:rFonts w:ascii="Arial" w:hAnsi="Arial" w:cs="Arial"/>
        </w:rPr>
        <w:t>é</w:t>
      </w:r>
      <w:r w:rsidR="00A608D0">
        <w:rPr>
          <w:rFonts w:ascii="Arial" w:hAnsi="Arial" w:cs="Arial"/>
        </w:rPr>
        <w:t xml:space="preserve"> </w:t>
      </w:r>
      <w:r w:rsidR="00C044EA" w:rsidRPr="00A217C6">
        <w:rPr>
          <w:rFonts w:ascii="Arial" w:hAnsi="Arial" w:cs="Arial"/>
        </w:rPr>
        <w:t xml:space="preserve">pre poskytnutie financovania s výnimkou sektorov, ktoré sú identifikované ako </w:t>
      </w:r>
      <w:r w:rsidR="00A608D0">
        <w:rPr>
          <w:rFonts w:ascii="Arial" w:hAnsi="Arial" w:cs="Arial"/>
        </w:rPr>
        <w:t>nespôsobilé</w:t>
      </w:r>
      <w:r w:rsidR="00C044EA" w:rsidRPr="00A217C6">
        <w:rPr>
          <w:rFonts w:ascii="Arial" w:hAnsi="Arial" w:cs="Arial"/>
        </w:rPr>
        <w:t xml:space="preserve"> aktivity (typ 2) v zmysle NA</w:t>
      </w:r>
      <w:r w:rsidR="00D10497">
        <w:rPr>
          <w:rFonts w:ascii="Arial" w:hAnsi="Arial" w:cs="Arial"/>
        </w:rPr>
        <w:t xml:space="preserve">CE kódov určených EIB. </w:t>
      </w:r>
    </w:p>
    <w:p w:rsidR="00B40920" w:rsidRPr="00A217C6" w:rsidRDefault="00D04DD1" w:rsidP="00AA0BAE">
      <w:pPr>
        <w:jc w:val="both"/>
        <w:rPr>
          <w:rFonts w:ascii="Arial" w:hAnsi="Arial" w:cs="Arial"/>
        </w:rPr>
      </w:pPr>
      <w:r w:rsidRPr="00D04DD1">
        <w:rPr>
          <w:rFonts w:ascii="Arial" w:hAnsi="Arial" w:cs="Arial"/>
        </w:rPr>
        <w:t xml:space="preserve">V prípade spoločností </w:t>
      </w:r>
      <w:r w:rsidR="00B40920" w:rsidRPr="00D04DD1">
        <w:rPr>
          <w:rFonts w:ascii="Arial" w:hAnsi="Arial" w:cs="Arial"/>
        </w:rPr>
        <w:t>aktívn</w:t>
      </w:r>
      <w:r w:rsidRPr="00D04DD1">
        <w:rPr>
          <w:rFonts w:ascii="Arial" w:hAnsi="Arial" w:cs="Arial"/>
        </w:rPr>
        <w:t>ych</w:t>
      </w:r>
      <w:r w:rsidR="00B40920" w:rsidRPr="00877E17">
        <w:rPr>
          <w:rFonts w:ascii="Arial" w:hAnsi="Arial" w:cs="Arial"/>
        </w:rPr>
        <w:t xml:space="preserve"> vo viacerých sektoroch</w:t>
      </w:r>
      <w:r w:rsidRPr="00D04DD1">
        <w:rPr>
          <w:rFonts w:ascii="Arial" w:hAnsi="Arial" w:cs="Arial"/>
        </w:rPr>
        <w:t xml:space="preserve"> je potrebné</w:t>
      </w:r>
      <w:r w:rsidR="00B40920" w:rsidRPr="00D04DD1">
        <w:rPr>
          <w:rFonts w:ascii="Arial" w:hAnsi="Arial" w:cs="Arial"/>
        </w:rPr>
        <w:t xml:space="preserve">, </w:t>
      </w:r>
      <w:r w:rsidRPr="00D04DD1">
        <w:rPr>
          <w:rFonts w:ascii="Arial" w:hAnsi="Arial" w:cs="Arial"/>
        </w:rPr>
        <w:t>aby ich</w:t>
      </w:r>
      <w:r w:rsidR="00B40920" w:rsidRPr="00D04DD1">
        <w:rPr>
          <w:rFonts w:ascii="Arial" w:hAnsi="Arial" w:cs="Arial"/>
        </w:rPr>
        <w:t xml:space="preserve"> hlavná aktivita</w:t>
      </w:r>
      <w:r w:rsidR="00A608D0" w:rsidRPr="00D04DD1">
        <w:rPr>
          <w:rFonts w:ascii="Arial" w:hAnsi="Arial" w:cs="Arial"/>
        </w:rPr>
        <w:t xml:space="preserve"> </w:t>
      </w:r>
      <w:r w:rsidRPr="00D04DD1">
        <w:rPr>
          <w:rFonts w:ascii="Arial" w:hAnsi="Arial" w:cs="Arial"/>
        </w:rPr>
        <w:t xml:space="preserve">bola </w:t>
      </w:r>
      <w:r w:rsidR="00B40920" w:rsidRPr="00D04DD1">
        <w:rPr>
          <w:rFonts w:ascii="Arial" w:hAnsi="Arial" w:cs="Arial"/>
        </w:rPr>
        <w:t>spôsobil</w:t>
      </w:r>
      <w:r w:rsidRPr="00D04DD1">
        <w:rPr>
          <w:rFonts w:ascii="Arial" w:hAnsi="Arial" w:cs="Arial"/>
        </w:rPr>
        <w:t>á na financovanie z pohľadu stanovených kritérií</w:t>
      </w:r>
      <w:r w:rsidR="00B40920" w:rsidRPr="00D04DD1">
        <w:rPr>
          <w:rFonts w:ascii="Arial" w:hAnsi="Arial" w:cs="Arial"/>
        </w:rPr>
        <w:t>. Hlavná aktivita sa vzťahuje na aktivitu, ktorá  najväčšmi prispieva k celkovej hrubej pridanej hodnote meranej príjmom pred úrok</w:t>
      </w:r>
      <w:r w:rsidR="006D4E54" w:rsidRPr="00D04DD1">
        <w:rPr>
          <w:rFonts w:ascii="Arial" w:hAnsi="Arial" w:cs="Arial"/>
        </w:rPr>
        <w:t>mi</w:t>
      </w:r>
      <w:r w:rsidR="00B40920" w:rsidRPr="00D04DD1">
        <w:rPr>
          <w:rFonts w:ascii="Arial" w:hAnsi="Arial" w:cs="Arial"/>
        </w:rPr>
        <w:t xml:space="preserve">, daňami a </w:t>
      </w:r>
      <w:r w:rsidR="006D4E54" w:rsidRPr="00D04DD1">
        <w:rPr>
          <w:rFonts w:ascii="Arial" w:hAnsi="Arial" w:cs="Arial"/>
        </w:rPr>
        <w:t>odpismi.</w:t>
      </w:r>
    </w:p>
    <w:p w:rsidR="00AA0BAE" w:rsidRDefault="00AA0BAE" w:rsidP="00AA0BAE">
      <w:pPr>
        <w:jc w:val="both"/>
        <w:rPr>
          <w:rFonts w:ascii="Arial" w:hAnsi="Arial" w:cs="Arial"/>
        </w:rPr>
      </w:pPr>
      <w:r w:rsidRPr="00A217C6">
        <w:rPr>
          <w:rFonts w:ascii="Arial" w:hAnsi="Arial" w:cs="Arial"/>
        </w:rPr>
        <w:t>Bez ohľadu na NACE kódy prepojených a partnerských podnikov v rámci tej istej skupiny podnikov, finančn</w:t>
      </w:r>
      <w:r w:rsidR="001D54AD">
        <w:rPr>
          <w:rFonts w:ascii="Arial" w:hAnsi="Arial" w:cs="Arial"/>
        </w:rPr>
        <w:t>é</w:t>
      </w:r>
      <w:r w:rsidRPr="00A217C6">
        <w:rPr>
          <w:rFonts w:ascii="Arial" w:hAnsi="Arial" w:cs="Arial"/>
        </w:rPr>
        <w:t xml:space="preserve"> holdingov</w:t>
      </w:r>
      <w:r w:rsidR="001D54AD">
        <w:rPr>
          <w:rFonts w:ascii="Arial" w:hAnsi="Arial" w:cs="Arial"/>
        </w:rPr>
        <w:t>é</w:t>
      </w:r>
      <w:r w:rsidRPr="00A217C6">
        <w:rPr>
          <w:rFonts w:ascii="Arial" w:hAnsi="Arial" w:cs="Arial"/>
        </w:rPr>
        <w:t xml:space="preserve"> spoločnost</w:t>
      </w:r>
      <w:r w:rsidR="001D54AD">
        <w:rPr>
          <w:rFonts w:ascii="Arial" w:hAnsi="Arial" w:cs="Arial"/>
        </w:rPr>
        <w:t>i</w:t>
      </w:r>
      <w:r w:rsidRPr="00A217C6">
        <w:rPr>
          <w:rFonts w:ascii="Arial" w:hAnsi="Arial" w:cs="Arial"/>
        </w:rPr>
        <w:t>, ktorých jedinou ekonomickou činnosťou je držanie a správa portfólií majetkových účastí a/alebo investícií v iných spoločnostiach sa nepovažujú za spôsobilé pre financovanie z finančných zdrojov EIB.</w:t>
      </w:r>
    </w:p>
    <w:p w:rsidR="001B70D6" w:rsidRPr="001B70D6" w:rsidRDefault="001B70D6" w:rsidP="001B70D6">
      <w:pPr>
        <w:jc w:val="both"/>
        <w:rPr>
          <w:rFonts w:ascii="Arial" w:hAnsi="Arial" w:cs="Arial"/>
        </w:rPr>
      </w:pPr>
      <w:r w:rsidRPr="0006379E">
        <w:rPr>
          <w:rFonts w:ascii="Arial" w:hAnsi="Arial" w:cs="Arial"/>
        </w:rPr>
        <w:t>__________________________________________________________________________</w:t>
      </w:r>
      <w:r w:rsidRPr="007C40B0">
        <w:rPr>
          <w:rFonts w:ascii="Arial" w:hAnsi="Arial" w:cs="Arial"/>
          <w:sz w:val="18"/>
          <w:szCs w:val="18"/>
        </w:rPr>
        <w:t xml:space="preserve"> </w:t>
      </w:r>
    </w:p>
    <w:p w:rsidR="001B70D6" w:rsidRPr="00A217C6" w:rsidRDefault="001B70D6" w:rsidP="00AA0BAE">
      <w:pPr>
        <w:jc w:val="both"/>
        <w:rPr>
          <w:rFonts w:ascii="Arial" w:hAnsi="Arial" w:cs="Arial"/>
        </w:rPr>
      </w:pPr>
    </w:p>
    <w:p w:rsidR="00AA0BAE" w:rsidRPr="007D0123" w:rsidRDefault="001B2920" w:rsidP="00C044EA">
      <w:pPr>
        <w:jc w:val="both"/>
        <w:rPr>
          <w:rFonts w:ascii="Arial" w:hAnsi="Arial" w:cs="Arial"/>
          <w:u w:val="single"/>
        </w:rPr>
      </w:pPr>
      <w:r w:rsidRPr="007D0123">
        <w:rPr>
          <w:rFonts w:ascii="Arial" w:hAnsi="Arial" w:cs="Arial"/>
          <w:u w:val="single"/>
        </w:rPr>
        <w:t>Vylúčené aktivity</w:t>
      </w:r>
    </w:p>
    <w:p w:rsidR="00520ECF" w:rsidRPr="007D0123" w:rsidRDefault="00030DFF" w:rsidP="00D10497">
      <w:pPr>
        <w:pStyle w:val="Odsekzoznamu"/>
        <w:numPr>
          <w:ilvl w:val="0"/>
          <w:numId w:val="15"/>
        </w:numPr>
        <w:ind w:left="284" w:hanging="284"/>
        <w:jc w:val="both"/>
        <w:rPr>
          <w:rFonts w:ascii="Arial" w:hAnsi="Arial" w:cs="Arial"/>
        </w:rPr>
      </w:pPr>
      <w:r w:rsidRPr="007D0123">
        <w:rPr>
          <w:rFonts w:ascii="Arial" w:hAnsi="Arial" w:cs="Arial"/>
        </w:rPr>
        <w:t>výroba, obchodovanie a distribúcia zbraní, munície</w:t>
      </w:r>
      <w:r w:rsidR="00BF4FB0" w:rsidRPr="007D0123">
        <w:rPr>
          <w:rFonts w:ascii="Arial" w:hAnsi="Arial" w:cs="Arial"/>
        </w:rPr>
        <w:t xml:space="preserve"> a</w:t>
      </w:r>
      <w:r w:rsidRPr="007D0123">
        <w:rPr>
          <w:rFonts w:ascii="Arial" w:hAnsi="Arial" w:cs="Arial"/>
        </w:rPr>
        <w:t xml:space="preserve"> </w:t>
      </w:r>
      <w:r w:rsidR="00BF4FB0" w:rsidRPr="007D0123">
        <w:rPr>
          <w:rFonts w:ascii="Arial" w:hAnsi="Arial" w:cs="Arial"/>
        </w:rPr>
        <w:t xml:space="preserve">výbušnín, </w:t>
      </w:r>
      <w:r w:rsidRPr="007D0123">
        <w:rPr>
          <w:rFonts w:ascii="Arial" w:hAnsi="Arial" w:cs="Arial"/>
        </w:rPr>
        <w:t>vybaveni</w:t>
      </w:r>
      <w:r w:rsidR="00BF4FB0" w:rsidRPr="007D0123">
        <w:rPr>
          <w:rFonts w:ascii="Arial" w:hAnsi="Arial" w:cs="Arial"/>
        </w:rPr>
        <w:t>e</w:t>
      </w:r>
      <w:r w:rsidRPr="007D0123">
        <w:rPr>
          <w:rFonts w:ascii="Arial" w:hAnsi="Arial" w:cs="Arial"/>
        </w:rPr>
        <w:t xml:space="preserve"> </w:t>
      </w:r>
      <w:r w:rsidR="00BF4FB0" w:rsidRPr="007D0123">
        <w:rPr>
          <w:rFonts w:ascii="Arial" w:hAnsi="Arial" w:cs="Arial"/>
        </w:rPr>
        <w:t xml:space="preserve">alebo </w:t>
      </w:r>
      <w:r w:rsidRPr="007D0123">
        <w:rPr>
          <w:rFonts w:ascii="Arial" w:hAnsi="Arial" w:cs="Arial"/>
        </w:rPr>
        <w:t>infraštruktúr</w:t>
      </w:r>
      <w:r w:rsidR="00BF4FB0" w:rsidRPr="007D0123">
        <w:rPr>
          <w:rFonts w:ascii="Arial" w:hAnsi="Arial" w:cs="Arial"/>
        </w:rPr>
        <w:t>a pre vojenské účely</w:t>
      </w:r>
      <w:r w:rsidRPr="007D0123">
        <w:rPr>
          <w:rFonts w:ascii="Arial" w:hAnsi="Arial" w:cs="Arial"/>
        </w:rPr>
        <w:t xml:space="preserve"> a vybaveni</w:t>
      </w:r>
      <w:r w:rsidR="00BF4FB0" w:rsidRPr="007D0123">
        <w:rPr>
          <w:rFonts w:ascii="Arial" w:hAnsi="Arial" w:cs="Arial"/>
        </w:rPr>
        <w:t>e</w:t>
      </w:r>
      <w:r w:rsidRPr="007D0123">
        <w:rPr>
          <w:rFonts w:ascii="Arial" w:hAnsi="Arial" w:cs="Arial"/>
        </w:rPr>
        <w:t xml:space="preserve"> a</w:t>
      </w:r>
      <w:r w:rsidR="00BF4FB0" w:rsidRPr="007D0123">
        <w:rPr>
          <w:rFonts w:ascii="Arial" w:hAnsi="Arial" w:cs="Arial"/>
        </w:rPr>
        <w:t>lebo</w:t>
      </w:r>
      <w:r w:rsidR="00520ECF" w:rsidRPr="007D0123">
        <w:rPr>
          <w:rFonts w:ascii="Arial" w:hAnsi="Arial" w:cs="Arial"/>
        </w:rPr>
        <w:t> </w:t>
      </w:r>
      <w:r w:rsidRPr="007D0123">
        <w:rPr>
          <w:rFonts w:ascii="Arial" w:hAnsi="Arial" w:cs="Arial"/>
        </w:rPr>
        <w:t>infraštruktúr</w:t>
      </w:r>
      <w:r w:rsidR="00BF4FB0" w:rsidRPr="007D0123">
        <w:rPr>
          <w:rFonts w:ascii="Arial" w:hAnsi="Arial" w:cs="Arial"/>
        </w:rPr>
        <w:t>a</w:t>
      </w:r>
      <w:r w:rsidR="00520ECF" w:rsidRPr="007D0123">
        <w:rPr>
          <w:rFonts w:ascii="Arial" w:hAnsi="Arial" w:cs="Arial"/>
        </w:rPr>
        <w:t xml:space="preserve"> obmedzujúc</w:t>
      </w:r>
      <w:r w:rsidR="00BF4FB0" w:rsidRPr="007D0123">
        <w:rPr>
          <w:rFonts w:ascii="Arial" w:hAnsi="Arial" w:cs="Arial"/>
        </w:rPr>
        <w:t>a</w:t>
      </w:r>
      <w:r w:rsidR="00520ECF" w:rsidRPr="007D0123">
        <w:rPr>
          <w:rFonts w:ascii="Arial" w:hAnsi="Arial" w:cs="Arial"/>
        </w:rPr>
        <w:t xml:space="preserve"> ľudské práva a slobody (väznice, </w:t>
      </w:r>
      <w:proofErr w:type="spellStart"/>
      <w:r w:rsidR="00520ECF" w:rsidRPr="007D0123">
        <w:rPr>
          <w:rFonts w:ascii="Arial" w:hAnsi="Arial" w:cs="Arial"/>
        </w:rPr>
        <w:t>detenčné</w:t>
      </w:r>
      <w:proofErr w:type="spellEnd"/>
      <w:r w:rsidR="00520ECF" w:rsidRPr="007D0123">
        <w:rPr>
          <w:rFonts w:ascii="Arial" w:hAnsi="Arial" w:cs="Arial"/>
        </w:rPr>
        <w:t xml:space="preserve"> centrá v akejkoľvek forme</w:t>
      </w:r>
      <w:r w:rsidR="00BF4FB0" w:rsidRPr="007D0123">
        <w:rPr>
          <w:rFonts w:ascii="Arial" w:hAnsi="Arial" w:cs="Arial"/>
        </w:rPr>
        <w:t xml:space="preserve"> a pod.</w:t>
      </w:r>
      <w:r w:rsidR="00520ECF" w:rsidRPr="007D0123">
        <w:rPr>
          <w:rFonts w:ascii="Arial" w:hAnsi="Arial" w:cs="Arial"/>
        </w:rPr>
        <w:t>),</w:t>
      </w:r>
    </w:p>
    <w:p w:rsidR="00520ECF" w:rsidRPr="007D0123" w:rsidRDefault="00520ECF" w:rsidP="00D10497">
      <w:pPr>
        <w:pStyle w:val="Odsekzoznamu"/>
        <w:numPr>
          <w:ilvl w:val="0"/>
          <w:numId w:val="15"/>
        </w:numPr>
        <w:ind w:left="284" w:hanging="284"/>
        <w:jc w:val="both"/>
        <w:rPr>
          <w:rFonts w:ascii="Arial" w:hAnsi="Arial" w:cs="Arial"/>
        </w:rPr>
      </w:pPr>
      <w:r w:rsidRPr="007D0123">
        <w:rPr>
          <w:rFonts w:ascii="Arial" w:hAnsi="Arial" w:cs="Arial"/>
        </w:rPr>
        <w:t xml:space="preserve">aktivity </w:t>
      </w:r>
      <w:r w:rsidR="00A33C5C" w:rsidRPr="007D0123">
        <w:rPr>
          <w:rFonts w:ascii="Arial" w:hAnsi="Arial" w:cs="Arial"/>
        </w:rPr>
        <w:t>majúce</w:t>
      </w:r>
      <w:r w:rsidRPr="007D0123">
        <w:rPr>
          <w:rFonts w:ascii="Arial" w:hAnsi="Arial" w:cs="Arial"/>
        </w:rPr>
        <w:t xml:space="preserve"> dopad na životné prostredie, ktoré nemajú adekvátnu kompenzáciu v oblasti ochrany životného prostredia,</w:t>
      </w:r>
    </w:p>
    <w:p w:rsidR="00544C9F" w:rsidRPr="007D0123" w:rsidRDefault="00520ECF" w:rsidP="00D10497">
      <w:pPr>
        <w:pStyle w:val="Odsekzoznamu"/>
        <w:numPr>
          <w:ilvl w:val="0"/>
          <w:numId w:val="15"/>
        </w:numPr>
        <w:ind w:left="284" w:hanging="284"/>
        <w:jc w:val="both"/>
        <w:rPr>
          <w:rFonts w:ascii="Arial" w:hAnsi="Arial" w:cs="Arial"/>
        </w:rPr>
      </w:pPr>
      <w:r w:rsidRPr="0006379E">
        <w:rPr>
          <w:rFonts w:ascii="Arial" w:hAnsi="Arial" w:cs="Arial"/>
        </w:rPr>
        <w:t xml:space="preserve">oblasti považované z etického alebo morálneho aspektu za kontroverzné (napr.: výskum v oblasti ľudského klonovania, </w:t>
      </w:r>
      <w:r w:rsidR="00544C9F" w:rsidRPr="0006379E">
        <w:rPr>
          <w:rFonts w:ascii="Arial" w:hAnsi="Arial" w:cs="Arial"/>
        </w:rPr>
        <w:t>experimenty na živých zvieratách pre experimentálne a vedecké účely,</w:t>
      </w:r>
      <w:r w:rsidR="001B70D6" w:rsidRPr="0006379E">
        <w:rPr>
          <w:rFonts w:ascii="Arial" w:hAnsi="Arial" w:cs="Arial"/>
        </w:rPr>
        <w:t xml:space="preserve"> ktoré nie sú v súlade so Smernicou Európskeho parlamentu a Rady 2010/63/EÚ z 22.9.2010 o ochrane zvierat používaných na vedecké účely,</w:t>
      </w:r>
      <w:r w:rsidR="00544C9F" w:rsidRPr="0006379E">
        <w:rPr>
          <w:rFonts w:ascii="Arial" w:hAnsi="Arial" w:cs="Arial"/>
        </w:rPr>
        <w:t xml:space="preserve"> aktivity</w:t>
      </w:r>
      <w:r w:rsidR="00544C9F" w:rsidRPr="007D0123">
        <w:rPr>
          <w:rFonts w:ascii="Arial" w:hAnsi="Arial" w:cs="Arial"/>
        </w:rPr>
        <w:t xml:space="preserve"> v oblasti sexuálneho priemyslu a pod.),</w:t>
      </w:r>
    </w:p>
    <w:p w:rsidR="00544C9F" w:rsidRPr="007D0123" w:rsidRDefault="00544C9F" w:rsidP="00D10497">
      <w:pPr>
        <w:pStyle w:val="Odsekzoznamu"/>
        <w:numPr>
          <w:ilvl w:val="0"/>
          <w:numId w:val="15"/>
        </w:numPr>
        <w:ind w:left="284" w:hanging="284"/>
        <w:jc w:val="both"/>
        <w:rPr>
          <w:rFonts w:ascii="Arial" w:hAnsi="Arial" w:cs="Arial"/>
        </w:rPr>
      </w:pPr>
      <w:r w:rsidRPr="007D0123">
        <w:rPr>
          <w:rFonts w:ascii="Arial" w:hAnsi="Arial" w:cs="Arial"/>
        </w:rPr>
        <w:t>aktivity zakázané národnou legislatívou, ak takáto legislatíva existuje (napr.: geneticky modifikované organizmy a pod.),</w:t>
      </w:r>
    </w:p>
    <w:p w:rsidR="004C3D80" w:rsidRPr="007D0123" w:rsidRDefault="00F81F29" w:rsidP="00D10497">
      <w:pPr>
        <w:pStyle w:val="Odsekzoznamu"/>
        <w:numPr>
          <w:ilvl w:val="0"/>
          <w:numId w:val="15"/>
        </w:numPr>
        <w:ind w:left="284" w:hanging="284"/>
        <w:jc w:val="both"/>
        <w:rPr>
          <w:rFonts w:ascii="Arial" w:hAnsi="Arial" w:cs="Arial"/>
        </w:rPr>
      </w:pPr>
      <w:r w:rsidRPr="007D0123">
        <w:rPr>
          <w:rFonts w:ascii="Arial" w:hAnsi="Arial" w:cs="Arial"/>
        </w:rPr>
        <w:t>nákup, výstav</w:t>
      </w:r>
      <w:r w:rsidR="002C54B2" w:rsidRPr="007D0123">
        <w:rPr>
          <w:rFonts w:ascii="Arial" w:hAnsi="Arial" w:cs="Arial"/>
        </w:rPr>
        <w:t>ba alebo renovácia nehnuteľnosti</w:t>
      </w:r>
      <w:r w:rsidRPr="007D0123">
        <w:rPr>
          <w:rFonts w:ascii="Arial" w:hAnsi="Arial" w:cs="Arial"/>
        </w:rPr>
        <w:t xml:space="preserve"> s cieľom jej predaja alebo prenajímania</w:t>
      </w:r>
      <w:r w:rsidR="002C54B2" w:rsidRPr="007D0123">
        <w:rPr>
          <w:rFonts w:ascii="Arial" w:hAnsi="Arial" w:cs="Arial"/>
        </w:rPr>
        <w:t xml:space="preserve"> tretej strane s výnimkou výstavby sociálneho bývania, obchodných centier a/alebo kancelárskych priestorov za účelom ich prenájmu tretím stranám, ktoré sa môžu mimoriadne stať oprávnené na základe predbežného rozhodnutia EIB</w:t>
      </w:r>
      <w:r w:rsidR="004C3D80" w:rsidRPr="007D0123">
        <w:rPr>
          <w:rFonts w:ascii="Arial" w:hAnsi="Arial" w:cs="Arial"/>
        </w:rPr>
        <w:t>,</w:t>
      </w:r>
    </w:p>
    <w:p w:rsidR="004C3D80" w:rsidRPr="007D0123" w:rsidRDefault="004C3D80" w:rsidP="00D10497">
      <w:pPr>
        <w:pStyle w:val="Odsekzoznamu"/>
        <w:numPr>
          <w:ilvl w:val="0"/>
          <w:numId w:val="15"/>
        </w:numPr>
        <w:ind w:left="284" w:hanging="284"/>
        <w:jc w:val="both"/>
        <w:rPr>
          <w:rFonts w:ascii="Arial" w:hAnsi="Arial" w:cs="Arial"/>
        </w:rPr>
      </w:pPr>
      <w:r w:rsidRPr="007D0123">
        <w:rPr>
          <w:rFonts w:ascii="Arial" w:hAnsi="Arial" w:cs="Arial"/>
        </w:rPr>
        <w:t>splácanie spotrebiteľských úverov,</w:t>
      </w:r>
    </w:p>
    <w:p w:rsidR="00B07554" w:rsidRPr="007D0123" w:rsidRDefault="004C3D80" w:rsidP="00D10497">
      <w:pPr>
        <w:pStyle w:val="Odsekzoznamu"/>
        <w:numPr>
          <w:ilvl w:val="0"/>
          <w:numId w:val="15"/>
        </w:numPr>
        <w:ind w:left="284" w:hanging="284"/>
        <w:jc w:val="both"/>
        <w:rPr>
          <w:rFonts w:ascii="Arial" w:hAnsi="Arial" w:cs="Arial"/>
        </w:rPr>
      </w:pPr>
      <w:r w:rsidRPr="007D0123">
        <w:rPr>
          <w:rFonts w:ascii="Arial" w:hAnsi="Arial" w:cs="Arial"/>
        </w:rPr>
        <w:lastRenderedPageBreak/>
        <w:t>čisté finančné aktivity (napr. obchodovanie s finančnými nástrojmi) vrátane zmeny vlastníctva (napr. fúzie a akvizície)</w:t>
      </w:r>
      <w:r w:rsidR="00B07554" w:rsidRPr="007D0123">
        <w:rPr>
          <w:rFonts w:ascii="Arial" w:hAnsi="Arial" w:cs="Arial"/>
        </w:rPr>
        <w:t>,</w:t>
      </w:r>
    </w:p>
    <w:p w:rsidR="002C68C8" w:rsidRPr="0006379E" w:rsidRDefault="001B70D6" w:rsidP="00D10497">
      <w:pPr>
        <w:pStyle w:val="Odsekzoznamu"/>
        <w:numPr>
          <w:ilvl w:val="0"/>
          <w:numId w:val="15"/>
        </w:numPr>
        <w:ind w:left="284" w:hanging="284"/>
        <w:jc w:val="both"/>
        <w:rPr>
          <w:rFonts w:ascii="Arial" w:hAnsi="Arial" w:cs="Arial"/>
        </w:rPr>
      </w:pPr>
      <w:r w:rsidRPr="0006379E">
        <w:rPr>
          <w:rFonts w:ascii="Arial" w:hAnsi="Arial" w:cs="Arial"/>
        </w:rPr>
        <w:t>aktivity</w:t>
      </w:r>
      <w:r w:rsidR="002C68C8" w:rsidRPr="0006379E">
        <w:rPr>
          <w:rFonts w:ascii="Arial" w:hAnsi="Arial" w:cs="Arial"/>
        </w:rPr>
        <w:t xml:space="preserve"> s politickým alebo náboženským obsahom,</w:t>
      </w:r>
    </w:p>
    <w:p w:rsidR="002C68C8" w:rsidRPr="007D0123" w:rsidRDefault="002C68C8" w:rsidP="00D10497">
      <w:pPr>
        <w:pStyle w:val="Odsekzoznamu"/>
        <w:numPr>
          <w:ilvl w:val="0"/>
          <w:numId w:val="15"/>
        </w:numPr>
        <w:ind w:left="284" w:hanging="284"/>
        <w:jc w:val="both"/>
        <w:rPr>
          <w:rFonts w:ascii="Arial" w:hAnsi="Arial" w:cs="Arial"/>
        </w:rPr>
      </w:pPr>
      <w:r w:rsidRPr="007D0123">
        <w:rPr>
          <w:rFonts w:ascii="Arial" w:hAnsi="Arial" w:cs="Arial"/>
        </w:rPr>
        <w:t>zdravotnícke projekty typu uzatvorených psychiatrických oddelení a/alebo nápravných zariadení,</w:t>
      </w:r>
    </w:p>
    <w:p w:rsidR="002C68C8" w:rsidRPr="007D0123" w:rsidRDefault="002C68C8" w:rsidP="00D10497">
      <w:pPr>
        <w:pStyle w:val="Odsekzoznamu"/>
        <w:numPr>
          <w:ilvl w:val="0"/>
          <w:numId w:val="15"/>
        </w:numPr>
        <w:ind w:left="284" w:hanging="284"/>
        <w:jc w:val="both"/>
        <w:rPr>
          <w:rFonts w:ascii="Arial" w:hAnsi="Arial" w:cs="Arial"/>
        </w:rPr>
      </w:pPr>
      <w:r w:rsidRPr="007D0123">
        <w:rPr>
          <w:rFonts w:ascii="Arial" w:hAnsi="Arial" w:cs="Arial"/>
        </w:rPr>
        <w:t xml:space="preserve">zdravotnícke projekty, ktoré nerešpektujú </w:t>
      </w:r>
      <w:r w:rsidR="00142CC5" w:rsidRPr="007D0123">
        <w:rPr>
          <w:rFonts w:ascii="Arial" w:hAnsi="Arial" w:cs="Arial"/>
        </w:rPr>
        <w:t>spoločné hodnoty a základné princípy zdravotnej politiky EÚ</w:t>
      </w:r>
      <w:r w:rsidR="00FF3BFD" w:rsidRPr="007D0123">
        <w:rPr>
          <w:rFonts w:ascii="Arial" w:hAnsi="Arial" w:cs="Arial"/>
        </w:rPr>
        <w:t>,</w:t>
      </w:r>
    </w:p>
    <w:p w:rsidR="00D64D64" w:rsidRPr="007D0123" w:rsidRDefault="00D64D64" w:rsidP="00D10497">
      <w:pPr>
        <w:pStyle w:val="Odsekzoznamu"/>
        <w:numPr>
          <w:ilvl w:val="0"/>
          <w:numId w:val="15"/>
        </w:numPr>
        <w:ind w:left="284" w:hanging="284"/>
        <w:jc w:val="both"/>
        <w:rPr>
          <w:rFonts w:ascii="Arial" w:hAnsi="Arial" w:cs="Arial"/>
        </w:rPr>
      </w:pPr>
      <w:r w:rsidRPr="007D0123">
        <w:rPr>
          <w:rFonts w:ascii="Arial" w:hAnsi="Arial" w:cs="Arial"/>
        </w:rPr>
        <w:t xml:space="preserve">nové plynové kotly akéhokoľvek výkonu a výmena veľkých plynových kotlov s kapacitou prevyšujúcou 20 </w:t>
      </w:r>
      <w:proofErr w:type="spellStart"/>
      <w:r w:rsidRPr="007D0123">
        <w:rPr>
          <w:rFonts w:ascii="Arial" w:hAnsi="Arial" w:cs="Arial"/>
        </w:rPr>
        <w:t>MW</w:t>
      </w:r>
      <w:r w:rsidR="00D57F74" w:rsidRPr="007D0123">
        <w:rPr>
          <w:rFonts w:ascii="Arial" w:hAnsi="Arial" w:cs="Arial"/>
        </w:rPr>
        <w:t>th</w:t>
      </w:r>
      <w:proofErr w:type="spellEnd"/>
      <w:r w:rsidR="00040561" w:rsidRPr="007D0123">
        <w:rPr>
          <w:rFonts w:ascii="Arial" w:hAnsi="Arial" w:cs="Arial"/>
        </w:rPr>
        <w:t>,</w:t>
      </w:r>
    </w:p>
    <w:p w:rsidR="00040561" w:rsidRPr="007D0123" w:rsidRDefault="00040561" w:rsidP="00D10497">
      <w:pPr>
        <w:pStyle w:val="Odsekzoznamu"/>
        <w:numPr>
          <w:ilvl w:val="0"/>
          <w:numId w:val="15"/>
        </w:numPr>
        <w:ind w:left="284" w:hanging="284"/>
        <w:jc w:val="both"/>
        <w:rPr>
          <w:rFonts w:ascii="Arial" w:hAnsi="Arial" w:cs="Arial"/>
        </w:rPr>
      </w:pPr>
      <w:r w:rsidRPr="007D0123">
        <w:rPr>
          <w:rFonts w:ascii="Arial" w:hAnsi="Arial" w:cs="Arial"/>
        </w:rPr>
        <w:t>ťažba uhlia vrátane jeho spracovania, prepravy a transportu,</w:t>
      </w:r>
    </w:p>
    <w:p w:rsidR="00040561" w:rsidRPr="007D0123" w:rsidRDefault="00040561" w:rsidP="00D10497">
      <w:pPr>
        <w:pStyle w:val="Odsekzoznamu"/>
        <w:numPr>
          <w:ilvl w:val="0"/>
          <w:numId w:val="15"/>
        </w:numPr>
        <w:ind w:left="284" w:hanging="284"/>
        <w:jc w:val="both"/>
        <w:rPr>
          <w:rFonts w:ascii="Arial" w:hAnsi="Arial" w:cs="Arial"/>
        </w:rPr>
      </w:pPr>
      <w:r w:rsidRPr="007D0123">
        <w:rPr>
          <w:rFonts w:ascii="Arial" w:hAnsi="Arial" w:cs="Arial"/>
        </w:rPr>
        <w:t>prieskum a ťažba ropy, rafinácia, preprava, distribúcia a jej skladovanie,</w:t>
      </w:r>
    </w:p>
    <w:p w:rsidR="00040561" w:rsidRPr="007D0123" w:rsidRDefault="00040561" w:rsidP="00D10497">
      <w:pPr>
        <w:pStyle w:val="Odsekzoznamu"/>
        <w:numPr>
          <w:ilvl w:val="0"/>
          <w:numId w:val="15"/>
        </w:numPr>
        <w:ind w:left="284" w:hanging="284"/>
        <w:jc w:val="both"/>
        <w:rPr>
          <w:rFonts w:ascii="Arial" w:hAnsi="Arial" w:cs="Arial"/>
        </w:rPr>
      </w:pPr>
      <w:r w:rsidRPr="007D0123">
        <w:rPr>
          <w:rFonts w:ascii="Arial" w:hAnsi="Arial" w:cs="Arial"/>
        </w:rPr>
        <w:t>prieskum a ťažba zemného plynu, skvapalňovanie, opätovné splyňovanie, preprava, distribúcia a jeho skladovanie,</w:t>
      </w:r>
    </w:p>
    <w:p w:rsidR="00D43571" w:rsidRPr="007D0123" w:rsidRDefault="00D43571" w:rsidP="00D10497">
      <w:pPr>
        <w:pStyle w:val="Odsekzoznamu"/>
        <w:numPr>
          <w:ilvl w:val="0"/>
          <w:numId w:val="15"/>
        </w:numPr>
        <w:ind w:left="284" w:hanging="284"/>
        <w:jc w:val="both"/>
        <w:rPr>
          <w:rFonts w:ascii="Arial" w:hAnsi="Arial" w:cs="Arial"/>
        </w:rPr>
      </w:pPr>
      <w:r w:rsidRPr="007D0123">
        <w:rPr>
          <w:rFonts w:ascii="Arial" w:hAnsi="Arial" w:cs="Arial"/>
        </w:rPr>
        <w:t xml:space="preserve">výroba elektrickej energie presahujúca emisný štandard (t. j. 250 gramov </w:t>
      </w:r>
      <w:r w:rsidR="00E050A6" w:rsidRPr="007D0123">
        <w:rPr>
          <w:rFonts w:ascii="Arial" w:hAnsi="Arial" w:cs="Arial"/>
        </w:rPr>
        <w:t>CO</w:t>
      </w:r>
      <w:r w:rsidR="00E050A6" w:rsidRPr="007D0123">
        <w:rPr>
          <w:rFonts w:ascii="Arial" w:hAnsi="Arial" w:cs="Arial"/>
          <w:vertAlign w:val="subscript"/>
        </w:rPr>
        <w:t>2e</w:t>
      </w:r>
      <w:r w:rsidRPr="007D0123">
        <w:rPr>
          <w:rFonts w:ascii="Arial" w:hAnsi="Arial" w:cs="Arial"/>
        </w:rPr>
        <w:t xml:space="preserve"> na kWh elektriny), ktorá sa vzťahuje na elektrárne na spaľovanie fosílnych palív a kogeneračné </w:t>
      </w:r>
      <w:r w:rsidR="007D0123" w:rsidRPr="007D0123">
        <w:rPr>
          <w:rFonts w:ascii="Arial" w:hAnsi="Arial" w:cs="Arial"/>
        </w:rPr>
        <w:t>elektrárne</w:t>
      </w:r>
      <w:r w:rsidRPr="007D0123">
        <w:rPr>
          <w:rFonts w:ascii="Arial" w:hAnsi="Arial" w:cs="Arial"/>
        </w:rPr>
        <w:t>, geotermálne a vodné elektrárne s veľkými zásobníkmi,</w:t>
      </w:r>
    </w:p>
    <w:p w:rsidR="007F6066" w:rsidRPr="007D0123" w:rsidRDefault="00FC59AA" w:rsidP="00CC2F44">
      <w:pPr>
        <w:pStyle w:val="Odsekzoznamu"/>
        <w:numPr>
          <w:ilvl w:val="0"/>
          <w:numId w:val="15"/>
        </w:numPr>
        <w:ind w:left="284" w:hanging="284"/>
        <w:jc w:val="both"/>
        <w:rPr>
          <w:rFonts w:ascii="Arial" w:hAnsi="Arial" w:cs="Arial"/>
        </w:rPr>
      </w:pPr>
      <w:r w:rsidRPr="007D0123">
        <w:rPr>
          <w:rFonts w:ascii="Arial" w:hAnsi="Arial" w:cs="Arial"/>
        </w:rPr>
        <w:t xml:space="preserve">výroba / dodávka tepla a kombinované chladenie / výroba tepla a energie </w:t>
      </w:r>
      <w:r w:rsidR="007F6066" w:rsidRPr="007D0123">
        <w:rPr>
          <w:rFonts w:ascii="Arial" w:hAnsi="Arial" w:cs="Arial"/>
        </w:rPr>
        <w:t>s</w:t>
      </w:r>
      <w:r w:rsidRPr="007D0123">
        <w:rPr>
          <w:rFonts w:ascii="Arial" w:hAnsi="Arial" w:cs="Arial"/>
        </w:rPr>
        <w:t xml:space="preserve"> výnimkou:</w:t>
      </w:r>
    </w:p>
    <w:p w:rsidR="00D57F74" w:rsidRPr="007D0123" w:rsidRDefault="00D57F74" w:rsidP="00D57F74">
      <w:pPr>
        <w:pStyle w:val="Odsekzoznamu"/>
        <w:numPr>
          <w:ilvl w:val="0"/>
          <w:numId w:val="23"/>
        </w:numPr>
        <w:jc w:val="both"/>
        <w:rPr>
          <w:rFonts w:ascii="Arial" w:hAnsi="Arial" w:cs="Arial"/>
        </w:rPr>
      </w:pPr>
      <w:r w:rsidRPr="007D0123">
        <w:rPr>
          <w:rFonts w:ascii="Arial" w:hAnsi="Arial" w:cs="Arial"/>
        </w:rPr>
        <w:t xml:space="preserve">výroby tepla pomocou obnoviteľných palív alebo spôsobilej </w:t>
      </w:r>
      <w:proofErr w:type="spellStart"/>
      <w:r w:rsidRPr="007D0123">
        <w:rPr>
          <w:rFonts w:ascii="Arial" w:hAnsi="Arial" w:cs="Arial"/>
        </w:rPr>
        <w:t>kogenerácie</w:t>
      </w:r>
      <w:proofErr w:type="spellEnd"/>
      <w:r w:rsidRPr="007D0123">
        <w:rPr>
          <w:rFonts w:ascii="Arial" w:hAnsi="Arial" w:cs="Arial"/>
        </w:rPr>
        <w:t>,</w:t>
      </w:r>
    </w:p>
    <w:p w:rsidR="00D57F74" w:rsidRPr="007D0123" w:rsidRDefault="00D57F74" w:rsidP="00D57F74">
      <w:pPr>
        <w:pStyle w:val="Odsekzoznamu"/>
        <w:numPr>
          <w:ilvl w:val="0"/>
          <w:numId w:val="23"/>
        </w:numPr>
        <w:jc w:val="both"/>
        <w:rPr>
          <w:rFonts w:ascii="Arial" w:hAnsi="Arial" w:cs="Arial"/>
        </w:rPr>
      </w:pPr>
      <w:r w:rsidRPr="007D0123">
        <w:rPr>
          <w:rFonts w:ascii="Arial" w:hAnsi="Arial" w:cs="Arial"/>
        </w:rPr>
        <w:t xml:space="preserve">výmeny malých a stredných kotlov na zemný plyn s kapacitou do 20 </w:t>
      </w:r>
      <w:proofErr w:type="spellStart"/>
      <w:r w:rsidRPr="007D0123">
        <w:rPr>
          <w:rFonts w:ascii="Arial" w:hAnsi="Arial" w:cs="Arial"/>
        </w:rPr>
        <w:t>MWth</w:t>
      </w:r>
      <w:proofErr w:type="spellEnd"/>
      <w:r w:rsidRPr="007D0123">
        <w:rPr>
          <w:rFonts w:ascii="Arial" w:hAnsi="Arial" w:cs="Arial"/>
        </w:rPr>
        <w:t xml:space="preserve">, ak vyhovujú minimálnym kritériám energetickej účinnosti, ktoré sú definované ako kotly s ratingom A v EÚ (uplatniteľné na &lt;400 </w:t>
      </w:r>
      <w:proofErr w:type="spellStart"/>
      <w:r w:rsidRPr="007D0123">
        <w:rPr>
          <w:rFonts w:ascii="Arial" w:hAnsi="Arial" w:cs="Arial"/>
        </w:rPr>
        <w:t>kWth</w:t>
      </w:r>
      <w:proofErr w:type="spellEnd"/>
      <w:r w:rsidRPr="007D0123">
        <w:rPr>
          <w:rFonts w:ascii="Arial" w:hAnsi="Arial" w:cs="Arial"/>
        </w:rPr>
        <w:t>) alebo kotly s</w:t>
      </w:r>
      <w:r w:rsidR="005D6CE7" w:rsidRPr="007D0123">
        <w:rPr>
          <w:rFonts w:ascii="Arial" w:hAnsi="Arial" w:cs="Arial"/>
        </w:rPr>
        <w:t> </w:t>
      </w:r>
      <w:r w:rsidRPr="007D0123">
        <w:rPr>
          <w:rFonts w:ascii="Arial" w:hAnsi="Arial" w:cs="Arial"/>
        </w:rPr>
        <w:t>účinnosťou</w:t>
      </w:r>
      <w:r w:rsidR="005D6CE7" w:rsidRPr="007D0123">
        <w:rPr>
          <w:rFonts w:ascii="Arial" w:hAnsi="Arial" w:cs="Arial"/>
        </w:rPr>
        <w:t xml:space="preserve"> &gt; 90%,</w:t>
      </w:r>
    </w:p>
    <w:p w:rsidR="005D6CE7" w:rsidRPr="007D0123" w:rsidRDefault="005D6CE7" w:rsidP="00D57F74">
      <w:pPr>
        <w:pStyle w:val="Odsekzoznamu"/>
        <w:numPr>
          <w:ilvl w:val="0"/>
          <w:numId w:val="23"/>
        </w:numPr>
        <w:jc w:val="both"/>
        <w:rPr>
          <w:rFonts w:ascii="Arial" w:hAnsi="Arial" w:cs="Arial"/>
        </w:rPr>
      </w:pPr>
      <w:r w:rsidRPr="007D0123">
        <w:rPr>
          <w:rFonts w:ascii="Arial" w:hAnsi="Arial" w:cs="Arial"/>
        </w:rPr>
        <w:t>obnovy alebo rozšírenia existujúcich sietí diaľkového vykurovania, ak nedôjde k zvýšeniu emisií CO</w:t>
      </w:r>
      <w:r w:rsidR="00E050A6" w:rsidRPr="007D0123">
        <w:rPr>
          <w:rFonts w:ascii="Arial" w:hAnsi="Arial" w:cs="Arial"/>
          <w:vertAlign w:val="subscript"/>
        </w:rPr>
        <w:t>2</w:t>
      </w:r>
      <w:r w:rsidRPr="007D0123">
        <w:rPr>
          <w:rFonts w:ascii="Arial" w:hAnsi="Arial" w:cs="Arial"/>
        </w:rPr>
        <w:t xml:space="preserve"> v dôsledku spaľovania uhlia, rašeliny, oleja, plynu alebo neorganického odpadu na ročnej báze,</w:t>
      </w:r>
    </w:p>
    <w:p w:rsidR="007F6066" w:rsidRPr="007D0123" w:rsidRDefault="005D6CE7" w:rsidP="00CC2F44">
      <w:pPr>
        <w:pStyle w:val="Odsekzoznamu"/>
        <w:numPr>
          <w:ilvl w:val="0"/>
          <w:numId w:val="23"/>
        </w:numPr>
        <w:ind w:hanging="644"/>
        <w:jc w:val="both"/>
        <w:rPr>
          <w:rFonts w:ascii="Arial" w:hAnsi="Arial" w:cs="Arial"/>
        </w:rPr>
      </w:pPr>
      <w:r w:rsidRPr="007D0123">
        <w:rPr>
          <w:rFonts w:ascii="Arial" w:hAnsi="Arial" w:cs="Arial"/>
        </w:rPr>
        <w:t xml:space="preserve">nových sietí diaľkového vykurovania alebo podstatného rozšírenia existujúcich sietí diaľkového vykurovania, ak sieť využíva najmenej 50 % obnoviteľnej energie alebo 50 % odpadového tepla alebo 75 % </w:t>
      </w:r>
      <w:proofErr w:type="spellStart"/>
      <w:r w:rsidRPr="007D0123">
        <w:rPr>
          <w:rFonts w:ascii="Arial" w:hAnsi="Arial" w:cs="Arial"/>
        </w:rPr>
        <w:t>kogenerovaného</w:t>
      </w:r>
      <w:proofErr w:type="spellEnd"/>
      <w:r w:rsidRPr="007D0123">
        <w:rPr>
          <w:rFonts w:ascii="Arial" w:hAnsi="Arial" w:cs="Arial"/>
        </w:rPr>
        <w:t xml:space="preserve"> tepla alebo 50 % kombinácie takejto energie a</w:t>
      </w:r>
      <w:r w:rsidR="00D37206" w:rsidRPr="007D0123">
        <w:rPr>
          <w:rFonts w:ascii="Arial" w:hAnsi="Arial" w:cs="Arial"/>
        </w:rPr>
        <w:t> </w:t>
      </w:r>
      <w:r w:rsidRPr="007D0123">
        <w:rPr>
          <w:rFonts w:ascii="Arial" w:hAnsi="Arial" w:cs="Arial"/>
        </w:rPr>
        <w:t>tepla</w:t>
      </w:r>
      <w:r w:rsidR="00D37206" w:rsidRPr="007D0123">
        <w:rPr>
          <w:rFonts w:ascii="Arial" w:hAnsi="Arial" w:cs="Arial"/>
        </w:rPr>
        <w:t>,</w:t>
      </w:r>
    </w:p>
    <w:p w:rsidR="00D37206" w:rsidRPr="007D0123" w:rsidRDefault="00D37206" w:rsidP="00D37206">
      <w:pPr>
        <w:pStyle w:val="Odsekzoznamu"/>
        <w:numPr>
          <w:ilvl w:val="0"/>
          <w:numId w:val="24"/>
        </w:numPr>
        <w:ind w:left="284" w:hanging="284"/>
        <w:jc w:val="both"/>
        <w:rPr>
          <w:rFonts w:ascii="Arial" w:hAnsi="Arial" w:cs="Arial"/>
        </w:rPr>
      </w:pPr>
      <w:r w:rsidRPr="007D0123">
        <w:rPr>
          <w:rFonts w:ascii="Arial" w:hAnsi="Arial" w:cs="Arial"/>
        </w:rPr>
        <w:t>výstavba nových budov a zásadné sanácie existujúcich budov (viac ako 25</w:t>
      </w:r>
      <w:r w:rsidR="007F6066" w:rsidRPr="007D0123">
        <w:rPr>
          <w:rFonts w:ascii="Arial" w:hAnsi="Arial" w:cs="Arial"/>
        </w:rPr>
        <w:t xml:space="preserve"> </w:t>
      </w:r>
      <w:r w:rsidRPr="007D0123">
        <w:rPr>
          <w:rFonts w:ascii="Arial" w:hAnsi="Arial" w:cs="Arial"/>
        </w:rPr>
        <w:t>% plochy alebo 25</w:t>
      </w:r>
      <w:r w:rsidR="007F6066" w:rsidRPr="007D0123">
        <w:rPr>
          <w:rFonts w:ascii="Arial" w:hAnsi="Arial" w:cs="Arial"/>
        </w:rPr>
        <w:t xml:space="preserve"> </w:t>
      </w:r>
      <w:r w:rsidRPr="007D0123">
        <w:rPr>
          <w:rFonts w:ascii="Arial" w:hAnsi="Arial" w:cs="Arial"/>
        </w:rPr>
        <w:t xml:space="preserve">% hodnoty budovy bez pôdy), ktoré nie sú v súlade s národnými energetickými normami definovanými v smernici </w:t>
      </w:r>
      <w:r w:rsidR="006F2065" w:rsidRPr="007D0123">
        <w:rPr>
          <w:rFonts w:ascii="Arial" w:hAnsi="Arial" w:cs="Arial"/>
        </w:rPr>
        <w:t xml:space="preserve">EÚ </w:t>
      </w:r>
      <w:r w:rsidRPr="007D0123">
        <w:rPr>
          <w:rFonts w:ascii="Arial" w:hAnsi="Arial" w:cs="Arial"/>
        </w:rPr>
        <w:t>o energetickej hospodárnosti budov</w:t>
      </w:r>
      <w:r w:rsidR="007F6066" w:rsidRPr="007D0123">
        <w:rPr>
          <w:rFonts w:ascii="Arial" w:hAnsi="Arial" w:cs="Arial"/>
        </w:rPr>
        <w:t xml:space="preserve"> a energetickej </w:t>
      </w:r>
      <w:r w:rsidR="006F2065" w:rsidRPr="007D0123">
        <w:rPr>
          <w:rFonts w:ascii="Arial" w:hAnsi="Arial" w:cs="Arial"/>
        </w:rPr>
        <w:t>úspornosti</w:t>
      </w:r>
      <w:r w:rsidRPr="007D0123">
        <w:rPr>
          <w:rFonts w:ascii="Arial" w:hAnsi="Arial" w:cs="Arial"/>
        </w:rPr>
        <w:t xml:space="preserve"> (</w:t>
      </w:r>
      <w:r w:rsidR="007F6066" w:rsidRPr="007D0123">
        <w:rPr>
          <w:rFonts w:ascii="Arial" w:hAnsi="Arial" w:cs="Arial"/>
        </w:rPr>
        <w:t>č. smernice 2018/844/EU</w:t>
      </w:r>
      <w:r w:rsidRPr="007D0123">
        <w:rPr>
          <w:rFonts w:ascii="Arial" w:hAnsi="Arial" w:cs="Arial"/>
        </w:rPr>
        <w:t>),</w:t>
      </w:r>
    </w:p>
    <w:p w:rsidR="00D37206" w:rsidRPr="007D0123" w:rsidRDefault="00CD0734" w:rsidP="00D37206">
      <w:pPr>
        <w:jc w:val="both"/>
        <w:rPr>
          <w:rFonts w:ascii="Arial" w:hAnsi="Arial" w:cs="Arial"/>
        </w:rPr>
      </w:pPr>
      <w:r w:rsidRPr="007D0123">
        <w:rPr>
          <w:rFonts w:ascii="Arial" w:hAnsi="Arial" w:cs="Arial"/>
        </w:rPr>
        <w:t>V prípade projektov týkajúcich sa výroby energie / tepla pomocou biomasy musia byť nasledovné podmienky pre udržateľnosť biomasy splnené:</w:t>
      </w:r>
    </w:p>
    <w:p w:rsidR="00CD0734" w:rsidRPr="007D0123" w:rsidRDefault="00CD0734" w:rsidP="00CD0734">
      <w:pPr>
        <w:pStyle w:val="Odsekzoznamu"/>
        <w:numPr>
          <w:ilvl w:val="0"/>
          <w:numId w:val="23"/>
        </w:numPr>
        <w:jc w:val="both"/>
        <w:rPr>
          <w:rFonts w:ascii="Arial" w:hAnsi="Arial" w:cs="Arial"/>
        </w:rPr>
      </w:pPr>
      <w:r w:rsidRPr="007D0123">
        <w:rPr>
          <w:rFonts w:ascii="Arial" w:hAnsi="Arial" w:cs="Arial"/>
        </w:rPr>
        <w:t>východisková surovina musí pochádzať z nekontaminovaného biopaliva v rámci EÚ alebo musí byť certifikovaná z hľadiska udržateľnosti, ak sa získava mimo EÚ,</w:t>
      </w:r>
    </w:p>
    <w:p w:rsidR="00CD0734" w:rsidRPr="007D0123" w:rsidRDefault="00CD0734" w:rsidP="00CD0734">
      <w:pPr>
        <w:pStyle w:val="Odsekzoznamu"/>
        <w:numPr>
          <w:ilvl w:val="0"/>
          <w:numId w:val="23"/>
        </w:numPr>
        <w:jc w:val="both"/>
        <w:rPr>
          <w:rFonts w:ascii="Arial" w:hAnsi="Arial" w:cs="Arial"/>
        </w:rPr>
      </w:pPr>
      <w:r w:rsidRPr="007D0123">
        <w:rPr>
          <w:rFonts w:ascii="Arial" w:hAnsi="Arial" w:cs="Arial"/>
        </w:rPr>
        <w:t xml:space="preserve">lesná surovina má byť certifikovaná podľa </w:t>
      </w:r>
      <w:r w:rsidR="00F17CA1" w:rsidRPr="007D0123">
        <w:rPr>
          <w:rFonts w:ascii="Arial" w:hAnsi="Arial" w:cs="Arial"/>
        </w:rPr>
        <w:t>medzinárodných štandardov certifikácie trvalo udržateľného lesného hospodárstva,</w:t>
      </w:r>
    </w:p>
    <w:p w:rsidR="00F17CA1" w:rsidRPr="007D0123" w:rsidRDefault="00F17CA1" w:rsidP="00CD0734">
      <w:pPr>
        <w:pStyle w:val="Odsekzoznamu"/>
        <w:numPr>
          <w:ilvl w:val="0"/>
          <w:numId w:val="23"/>
        </w:numPr>
        <w:jc w:val="both"/>
        <w:rPr>
          <w:rFonts w:ascii="Arial" w:hAnsi="Arial" w:cs="Arial"/>
        </w:rPr>
      </w:pPr>
      <w:r w:rsidRPr="007D0123">
        <w:rPr>
          <w:rFonts w:ascii="Arial" w:hAnsi="Arial" w:cs="Arial"/>
        </w:rPr>
        <w:t xml:space="preserve">použitie výrobkov z palmového oleja alebo surovín z tropických lesov / chránených lokalít je vylúčené. Chránené územia zahŕňajú územia Natura 2000 určené podľa právnych predpisov EÚ, územia uznané podľa </w:t>
      </w:r>
      <w:proofErr w:type="spellStart"/>
      <w:r w:rsidRPr="007D0123">
        <w:rPr>
          <w:rFonts w:ascii="Arial" w:hAnsi="Arial" w:cs="Arial"/>
        </w:rPr>
        <w:t>Ramsarského</w:t>
      </w:r>
      <w:proofErr w:type="spellEnd"/>
      <w:r w:rsidRPr="007D0123">
        <w:rPr>
          <w:rFonts w:ascii="Arial" w:hAnsi="Arial" w:cs="Arial"/>
        </w:rPr>
        <w:t>, Bernského (</w:t>
      </w:r>
      <w:proofErr w:type="spellStart"/>
      <w:r w:rsidRPr="007D0123">
        <w:rPr>
          <w:rFonts w:ascii="Arial" w:hAnsi="Arial" w:cs="Arial"/>
        </w:rPr>
        <w:t>Emeraldova</w:t>
      </w:r>
      <w:proofErr w:type="spellEnd"/>
      <w:r w:rsidRPr="007D0123">
        <w:rPr>
          <w:rFonts w:ascii="Arial" w:hAnsi="Arial" w:cs="Arial"/>
        </w:rPr>
        <w:t xml:space="preserve"> sieť) a Bonnských dohovorov a územia určené alebo označené za chránené územia národnými vládami.</w:t>
      </w:r>
    </w:p>
    <w:p w:rsidR="00F17CA1" w:rsidRPr="007D0123" w:rsidRDefault="00F17CA1" w:rsidP="00F314CB">
      <w:pPr>
        <w:jc w:val="both"/>
        <w:rPr>
          <w:rFonts w:ascii="Arial" w:hAnsi="Arial" w:cs="Arial"/>
        </w:rPr>
      </w:pPr>
      <w:r w:rsidRPr="007D0123">
        <w:rPr>
          <w:rFonts w:ascii="Arial" w:hAnsi="Arial" w:cs="Arial"/>
        </w:rPr>
        <w:lastRenderedPageBreak/>
        <w:t xml:space="preserve">Aby sa zabránilo pochybnostiam, vyššie uvedené podmienky pre výrobu energie / tepla / chladenia platia aj pre primárne neenergetické projekty, napr. zariadenie na </w:t>
      </w:r>
      <w:r w:rsidR="00CC2F44" w:rsidRPr="007D0123">
        <w:rPr>
          <w:rFonts w:ascii="Arial" w:hAnsi="Arial" w:cs="Arial"/>
        </w:rPr>
        <w:t>produkciu</w:t>
      </w:r>
      <w:r w:rsidRPr="007D0123">
        <w:rPr>
          <w:rFonts w:ascii="Arial" w:hAnsi="Arial" w:cs="Arial"/>
        </w:rPr>
        <w:t xml:space="preserve"> kvetov.</w:t>
      </w:r>
    </w:p>
    <w:p w:rsidR="00FF3BFD" w:rsidRPr="007D0123" w:rsidRDefault="00FF3BFD" w:rsidP="00D10497">
      <w:pPr>
        <w:pStyle w:val="Odsekzoznamu"/>
        <w:numPr>
          <w:ilvl w:val="0"/>
          <w:numId w:val="15"/>
        </w:numPr>
        <w:ind w:left="284" w:hanging="284"/>
        <w:jc w:val="both"/>
        <w:rPr>
          <w:rFonts w:ascii="Arial" w:hAnsi="Arial" w:cs="Arial"/>
        </w:rPr>
      </w:pPr>
      <w:r w:rsidRPr="007D0123">
        <w:rPr>
          <w:rFonts w:ascii="Arial" w:hAnsi="Arial" w:cs="Arial"/>
        </w:rPr>
        <w:t xml:space="preserve">refinancovanie predchádzajúceho financovania </w:t>
      </w:r>
      <w:r w:rsidR="0003195F" w:rsidRPr="007D0123">
        <w:rPr>
          <w:rFonts w:ascii="Arial" w:hAnsi="Arial" w:cs="Arial"/>
        </w:rPr>
        <w:t xml:space="preserve">pre požadovaný projekt s výnimkou ak nové financovanie </w:t>
      </w:r>
      <w:r w:rsidR="00BE69BA" w:rsidRPr="007D0123">
        <w:rPr>
          <w:rFonts w:ascii="Arial" w:hAnsi="Arial" w:cs="Arial"/>
        </w:rPr>
        <w:t xml:space="preserve">je </w:t>
      </w:r>
      <w:r w:rsidR="0003195F" w:rsidRPr="007D0123">
        <w:rPr>
          <w:rFonts w:ascii="Arial" w:hAnsi="Arial" w:cs="Arial"/>
        </w:rPr>
        <w:t xml:space="preserve">formou navýšenia </w:t>
      </w:r>
      <w:r w:rsidR="00BE69BA" w:rsidRPr="007D0123">
        <w:rPr>
          <w:rFonts w:ascii="Arial" w:hAnsi="Arial" w:cs="Arial"/>
        </w:rPr>
        <w:t xml:space="preserve">pôvodného </w:t>
      </w:r>
      <w:r w:rsidR="0003195F" w:rsidRPr="007D0123">
        <w:rPr>
          <w:rFonts w:ascii="Arial" w:hAnsi="Arial" w:cs="Arial"/>
        </w:rPr>
        <w:t>financovania.</w:t>
      </w:r>
    </w:p>
    <w:p w:rsidR="00F13824" w:rsidRPr="007D0123" w:rsidRDefault="00C044EA" w:rsidP="00C044EA">
      <w:pPr>
        <w:jc w:val="both"/>
        <w:rPr>
          <w:rFonts w:ascii="Arial" w:hAnsi="Arial" w:cs="Arial"/>
        </w:rPr>
      </w:pPr>
      <w:r w:rsidRPr="007D0123">
        <w:rPr>
          <w:rFonts w:ascii="Arial" w:hAnsi="Arial" w:cs="Arial"/>
        </w:rPr>
        <w:t xml:space="preserve">Bez ohľadu na </w:t>
      </w:r>
      <w:r w:rsidR="00F13824" w:rsidRPr="007D0123">
        <w:rPr>
          <w:rFonts w:ascii="Arial" w:hAnsi="Arial" w:cs="Arial"/>
        </w:rPr>
        <w:t>oprávnenosť klientov v zmysle NACE kódov vo vzťahu k hlavnej činnosti klienta, každý klient, ktorého viac ako 10 % ročných príjmov je generovaných nasledovnými aktivitami nie je spôsobilý pre financovanie z finančných zdrojov EIB:</w:t>
      </w:r>
    </w:p>
    <w:p w:rsidR="00F13824" w:rsidRPr="007D0123" w:rsidRDefault="00F13824" w:rsidP="006E00D7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7D0123">
        <w:rPr>
          <w:rFonts w:ascii="Arial" w:hAnsi="Arial" w:cs="Arial"/>
        </w:rPr>
        <w:t xml:space="preserve">prevádzkovanie hazardných a stávkových hier vrátane príslušného vybavenia, </w:t>
      </w:r>
    </w:p>
    <w:p w:rsidR="00C044EA" w:rsidRPr="007D0123" w:rsidRDefault="00F13824" w:rsidP="006E00D7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7D0123">
        <w:rPr>
          <w:rFonts w:ascii="Arial" w:hAnsi="Arial" w:cs="Arial"/>
        </w:rPr>
        <w:t>spracovanie, výroba a distribúcia tabaku a tabakových výrobkov a zariadení pre fajčenie (napr. miestnosti pre fajčiarov)</w:t>
      </w:r>
      <w:r w:rsidR="00C02DF4" w:rsidRPr="007D0123">
        <w:rPr>
          <w:rFonts w:ascii="Arial" w:hAnsi="Arial" w:cs="Arial"/>
        </w:rPr>
        <w:t>.</w:t>
      </w:r>
    </w:p>
    <w:p w:rsidR="001B2920" w:rsidRPr="006E00D7" w:rsidRDefault="001B2920" w:rsidP="001B2920">
      <w:pPr>
        <w:pStyle w:val="Odsekzoznamu"/>
        <w:ind w:left="284"/>
        <w:jc w:val="both"/>
        <w:rPr>
          <w:rFonts w:ascii="Arial" w:hAnsi="Arial" w:cs="Arial"/>
        </w:rPr>
      </w:pPr>
    </w:p>
    <w:p w:rsidR="00B07554" w:rsidRDefault="00B07554" w:rsidP="001B2920">
      <w:pPr>
        <w:pStyle w:val="Odsekzoznamu"/>
        <w:numPr>
          <w:ilvl w:val="0"/>
          <w:numId w:val="18"/>
        </w:numPr>
        <w:ind w:left="426" w:hanging="426"/>
        <w:jc w:val="both"/>
        <w:rPr>
          <w:rFonts w:ascii="Arial" w:hAnsi="Arial" w:cs="Arial"/>
          <w:b/>
        </w:rPr>
      </w:pPr>
      <w:r w:rsidRPr="001B2920">
        <w:rPr>
          <w:rFonts w:ascii="Arial" w:hAnsi="Arial" w:cs="Arial"/>
          <w:b/>
        </w:rPr>
        <w:t>Neoprávnené kategórie nákladov a</w:t>
      </w:r>
      <w:r w:rsidR="001B2920">
        <w:rPr>
          <w:rFonts w:ascii="Arial" w:hAnsi="Arial" w:cs="Arial"/>
          <w:b/>
        </w:rPr>
        <w:t> </w:t>
      </w:r>
      <w:r w:rsidRPr="001B2920">
        <w:rPr>
          <w:rFonts w:ascii="Arial" w:hAnsi="Arial" w:cs="Arial"/>
          <w:b/>
        </w:rPr>
        <w:t>projekty</w:t>
      </w:r>
    </w:p>
    <w:p w:rsidR="001B2920" w:rsidRPr="001B2920" w:rsidRDefault="001B2920" w:rsidP="001B2920">
      <w:pPr>
        <w:pStyle w:val="Odsekzoznamu"/>
        <w:ind w:left="426"/>
        <w:jc w:val="both"/>
        <w:rPr>
          <w:rFonts w:ascii="Arial" w:hAnsi="Arial" w:cs="Arial"/>
          <w:b/>
        </w:rPr>
      </w:pPr>
    </w:p>
    <w:p w:rsidR="00B07554" w:rsidRDefault="00B07554" w:rsidP="006E00D7">
      <w:pPr>
        <w:pStyle w:val="Odsekzoznamu"/>
        <w:numPr>
          <w:ilvl w:val="0"/>
          <w:numId w:val="7"/>
        </w:numPr>
        <w:ind w:left="284" w:hanging="284"/>
        <w:jc w:val="both"/>
        <w:rPr>
          <w:rStyle w:val="alt-edited"/>
          <w:rFonts w:ascii="Arial" w:hAnsi="Arial" w:cs="Arial"/>
        </w:rPr>
      </w:pPr>
      <w:r w:rsidRPr="00A217C6">
        <w:rPr>
          <w:rStyle w:val="alt-edited"/>
          <w:rFonts w:ascii="Arial" w:hAnsi="Arial" w:cs="Arial"/>
        </w:rPr>
        <w:t>financovanie nákupu pôdy je vylúčené s výnimkou pôdy, ktorá je technick</w:t>
      </w:r>
      <w:r w:rsidR="004E7948">
        <w:rPr>
          <w:rStyle w:val="alt-edited"/>
          <w:rFonts w:ascii="Arial" w:hAnsi="Arial" w:cs="Arial"/>
        </w:rPr>
        <w:t>y</w:t>
      </w:r>
      <w:r w:rsidRPr="00A217C6">
        <w:rPr>
          <w:rStyle w:val="alt-edited"/>
          <w:rFonts w:ascii="Arial" w:hAnsi="Arial" w:cs="Arial"/>
        </w:rPr>
        <w:t xml:space="preserve"> nevyhnutná pre realizáciu investície; nákup poľnohospodárskej pôdy je vylúčený vždy,</w:t>
      </w:r>
    </w:p>
    <w:p w:rsidR="00B07554" w:rsidRDefault="00B07554" w:rsidP="006E00D7">
      <w:pPr>
        <w:pStyle w:val="Odsekzoznamu"/>
        <w:numPr>
          <w:ilvl w:val="0"/>
          <w:numId w:val="7"/>
        </w:numPr>
        <w:ind w:left="284" w:hanging="284"/>
        <w:jc w:val="both"/>
        <w:rPr>
          <w:rStyle w:val="alt-edited"/>
          <w:rFonts w:ascii="Arial" w:hAnsi="Arial" w:cs="Arial"/>
        </w:rPr>
      </w:pPr>
      <w:r w:rsidRPr="006E00D7">
        <w:rPr>
          <w:rStyle w:val="alt-edited"/>
          <w:rFonts w:ascii="Arial" w:hAnsi="Arial" w:cs="Arial"/>
        </w:rPr>
        <w:t xml:space="preserve">nákup </w:t>
      </w:r>
      <w:proofErr w:type="spellStart"/>
      <w:r w:rsidRPr="006E00D7">
        <w:rPr>
          <w:rStyle w:val="alt-edited"/>
          <w:rFonts w:ascii="Arial" w:hAnsi="Arial" w:cs="Arial"/>
        </w:rPr>
        <w:t>goodwill</w:t>
      </w:r>
      <w:proofErr w:type="spellEnd"/>
      <w:r w:rsidRPr="006E00D7">
        <w:rPr>
          <w:rStyle w:val="alt-edited"/>
          <w:rFonts w:ascii="Arial" w:hAnsi="Arial" w:cs="Arial"/>
        </w:rPr>
        <w:t>, licencií a práv pre využívanie minerálnych zdrojov/nerastných surovín a výrobn</w:t>
      </w:r>
      <w:r w:rsidR="002B5EF0" w:rsidRPr="006E00D7">
        <w:rPr>
          <w:rStyle w:val="alt-edited"/>
          <w:rFonts w:ascii="Arial" w:hAnsi="Arial" w:cs="Arial"/>
        </w:rPr>
        <w:t>ých</w:t>
      </w:r>
      <w:r w:rsidRPr="006E00D7">
        <w:rPr>
          <w:rStyle w:val="alt-edited"/>
          <w:rFonts w:ascii="Arial" w:hAnsi="Arial" w:cs="Arial"/>
        </w:rPr>
        <w:t xml:space="preserve"> práv v poľnohospodárskom sektore,</w:t>
      </w:r>
    </w:p>
    <w:p w:rsidR="00B07554" w:rsidRPr="00755916" w:rsidRDefault="00B07554" w:rsidP="006E00D7">
      <w:pPr>
        <w:pStyle w:val="Odsekzoznamu"/>
        <w:numPr>
          <w:ilvl w:val="0"/>
          <w:numId w:val="7"/>
        </w:numPr>
        <w:ind w:left="284" w:hanging="284"/>
        <w:jc w:val="both"/>
        <w:rPr>
          <w:rStyle w:val="alt-edited"/>
          <w:rFonts w:ascii="Arial" w:hAnsi="Arial" w:cs="Arial"/>
        </w:rPr>
      </w:pPr>
      <w:r w:rsidRPr="00755916">
        <w:rPr>
          <w:rStyle w:val="alt-edited"/>
          <w:rFonts w:ascii="Arial" w:hAnsi="Arial" w:cs="Arial"/>
        </w:rPr>
        <w:t>dane ako</w:t>
      </w:r>
      <w:r w:rsidR="003D2131" w:rsidRPr="00755916">
        <w:rPr>
          <w:rStyle w:val="alt-edited"/>
          <w:rFonts w:ascii="Arial" w:hAnsi="Arial" w:cs="Arial"/>
        </w:rPr>
        <w:t xml:space="preserve"> je</w:t>
      </w:r>
      <w:r w:rsidRPr="00755916">
        <w:rPr>
          <w:rStyle w:val="alt-edited"/>
          <w:rFonts w:ascii="Arial" w:hAnsi="Arial" w:cs="Arial"/>
        </w:rPr>
        <w:t xml:space="preserve"> DPH</w:t>
      </w:r>
      <w:r w:rsidR="008B3879" w:rsidRPr="00755916">
        <w:rPr>
          <w:rStyle w:val="alt-edited"/>
          <w:rFonts w:ascii="Arial" w:hAnsi="Arial" w:cs="Arial"/>
        </w:rPr>
        <w:t>, taktiež tarify,  t.j. dane a clá platené v súvislosti s vývozom a</w:t>
      </w:r>
      <w:r w:rsidR="00796451">
        <w:rPr>
          <w:rStyle w:val="alt-edited"/>
          <w:rFonts w:ascii="Arial" w:hAnsi="Arial" w:cs="Arial"/>
        </w:rPr>
        <w:t> </w:t>
      </w:r>
      <w:r w:rsidR="008B3879" w:rsidRPr="00755916">
        <w:rPr>
          <w:rStyle w:val="alt-edited"/>
          <w:rFonts w:ascii="Arial" w:hAnsi="Arial" w:cs="Arial"/>
        </w:rPr>
        <w:t>dovozom</w:t>
      </w:r>
      <w:r w:rsidR="00796451">
        <w:rPr>
          <w:rStyle w:val="alt-edited"/>
          <w:rFonts w:ascii="Arial" w:hAnsi="Arial" w:cs="Arial"/>
        </w:rPr>
        <w:t>.</w:t>
      </w:r>
      <w:r w:rsidR="00E22C30" w:rsidRPr="00755916">
        <w:rPr>
          <w:rStyle w:val="alt-edited"/>
          <w:rFonts w:ascii="Arial" w:hAnsi="Arial" w:cs="Arial"/>
        </w:rPr>
        <w:t xml:space="preserve"> </w:t>
      </w:r>
    </w:p>
    <w:p w:rsidR="007C40B0" w:rsidRPr="007C40B0" w:rsidRDefault="007C40B0" w:rsidP="007C40B0">
      <w:pPr>
        <w:jc w:val="both"/>
        <w:rPr>
          <w:rStyle w:val="alt-edited"/>
          <w:rFonts w:ascii="Arial" w:hAnsi="Arial" w:cs="Arial"/>
        </w:rPr>
      </w:pPr>
    </w:p>
    <w:sectPr w:rsidR="007C40B0" w:rsidRPr="007C40B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37D" w:rsidRDefault="00A1337D" w:rsidP="008C5B68">
      <w:pPr>
        <w:spacing w:after="0" w:line="240" w:lineRule="auto"/>
      </w:pPr>
      <w:r>
        <w:separator/>
      </w:r>
    </w:p>
  </w:endnote>
  <w:endnote w:type="continuationSeparator" w:id="0">
    <w:p w:rsidR="00A1337D" w:rsidRDefault="00A1337D" w:rsidP="008C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891836"/>
      <w:docPartObj>
        <w:docPartGallery w:val="Page Numbers (Bottom of Page)"/>
        <w:docPartUnique/>
      </w:docPartObj>
    </w:sdtPr>
    <w:sdtEndPr/>
    <w:sdtContent>
      <w:p w:rsidR="00A1337D" w:rsidRDefault="00A1337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440">
          <w:rPr>
            <w:noProof/>
          </w:rPr>
          <w:t>1</w:t>
        </w:r>
        <w:r>
          <w:fldChar w:fldCharType="end"/>
        </w:r>
      </w:p>
    </w:sdtContent>
  </w:sdt>
  <w:p w:rsidR="00A1337D" w:rsidRDefault="00A133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37D" w:rsidRDefault="00A1337D" w:rsidP="008C5B68">
      <w:pPr>
        <w:spacing w:after="0" w:line="240" w:lineRule="auto"/>
      </w:pPr>
      <w:r>
        <w:separator/>
      </w:r>
    </w:p>
  </w:footnote>
  <w:footnote w:type="continuationSeparator" w:id="0">
    <w:p w:rsidR="00A1337D" w:rsidRDefault="00A1337D" w:rsidP="008C5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C14"/>
    <w:multiLevelType w:val="hybridMultilevel"/>
    <w:tmpl w:val="6374E2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A1AF5"/>
    <w:multiLevelType w:val="hybridMultilevel"/>
    <w:tmpl w:val="9F88CCE4"/>
    <w:lvl w:ilvl="0" w:tplc="8464643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23E54"/>
    <w:multiLevelType w:val="hybridMultilevel"/>
    <w:tmpl w:val="FC1418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C5B64"/>
    <w:multiLevelType w:val="hybridMultilevel"/>
    <w:tmpl w:val="AE5ECE0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81967E7"/>
    <w:multiLevelType w:val="hybridMultilevel"/>
    <w:tmpl w:val="387EC0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87FF2"/>
    <w:multiLevelType w:val="hybridMultilevel"/>
    <w:tmpl w:val="6F9297E6"/>
    <w:lvl w:ilvl="0" w:tplc="D4A2F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7A44AB"/>
    <w:multiLevelType w:val="hybridMultilevel"/>
    <w:tmpl w:val="AA5638D8"/>
    <w:lvl w:ilvl="0" w:tplc="D2AA7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0A1181"/>
    <w:multiLevelType w:val="hybridMultilevel"/>
    <w:tmpl w:val="EA6012FC"/>
    <w:lvl w:ilvl="0" w:tplc="041B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D7821"/>
    <w:multiLevelType w:val="hybridMultilevel"/>
    <w:tmpl w:val="59EC45B8"/>
    <w:lvl w:ilvl="0" w:tplc="F9B663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76FF2"/>
    <w:multiLevelType w:val="hybridMultilevel"/>
    <w:tmpl w:val="A092A26E"/>
    <w:lvl w:ilvl="0" w:tplc="8D64D4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3354E"/>
    <w:multiLevelType w:val="hybridMultilevel"/>
    <w:tmpl w:val="95429B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03432"/>
    <w:multiLevelType w:val="hybridMultilevel"/>
    <w:tmpl w:val="DEFABFF2"/>
    <w:lvl w:ilvl="0" w:tplc="3FB8DA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54390B"/>
    <w:multiLevelType w:val="hybridMultilevel"/>
    <w:tmpl w:val="7EAE5BDA"/>
    <w:lvl w:ilvl="0" w:tplc="451251F6">
      <w:start w:val="20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25F4B9D"/>
    <w:multiLevelType w:val="hybridMultilevel"/>
    <w:tmpl w:val="037886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7E743B"/>
    <w:multiLevelType w:val="hybridMultilevel"/>
    <w:tmpl w:val="8A20639A"/>
    <w:lvl w:ilvl="0" w:tplc="EECCA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6097D"/>
    <w:multiLevelType w:val="hybridMultilevel"/>
    <w:tmpl w:val="64D4BA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8D238E"/>
    <w:multiLevelType w:val="hybridMultilevel"/>
    <w:tmpl w:val="C9A678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A3B4C"/>
    <w:multiLevelType w:val="hybridMultilevel"/>
    <w:tmpl w:val="4210E8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75D79"/>
    <w:multiLevelType w:val="hybridMultilevel"/>
    <w:tmpl w:val="7102D5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6241C1"/>
    <w:multiLevelType w:val="hybridMultilevel"/>
    <w:tmpl w:val="799CB8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E83D1D"/>
    <w:multiLevelType w:val="hybridMultilevel"/>
    <w:tmpl w:val="762632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8A3CB7"/>
    <w:multiLevelType w:val="hybridMultilevel"/>
    <w:tmpl w:val="C93469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4B67AE"/>
    <w:multiLevelType w:val="hybridMultilevel"/>
    <w:tmpl w:val="768093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6359A"/>
    <w:multiLevelType w:val="hybridMultilevel"/>
    <w:tmpl w:val="0BFE8A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9"/>
  </w:num>
  <w:num w:numId="5">
    <w:abstractNumId w:val="6"/>
  </w:num>
  <w:num w:numId="6">
    <w:abstractNumId w:val="16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13"/>
  </w:num>
  <w:num w:numId="12">
    <w:abstractNumId w:val="22"/>
  </w:num>
  <w:num w:numId="13">
    <w:abstractNumId w:val="19"/>
  </w:num>
  <w:num w:numId="14">
    <w:abstractNumId w:val="20"/>
  </w:num>
  <w:num w:numId="15">
    <w:abstractNumId w:val="23"/>
  </w:num>
  <w:num w:numId="16">
    <w:abstractNumId w:val="17"/>
  </w:num>
  <w:num w:numId="17">
    <w:abstractNumId w:val="14"/>
  </w:num>
  <w:num w:numId="18">
    <w:abstractNumId w:val="21"/>
  </w:num>
  <w:num w:numId="19">
    <w:abstractNumId w:val="3"/>
  </w:num>
  <w:num w:numId="20">
    <w:abstractNumId w:val="7"/>
  </w:num>
  <w:num w:numId="21">
    <w:abstractNumId w:val="15"/>
  </w:num>
  <w:num w:numId="22">
    <w:abstractNumId w:val="10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EC"/>
    <w:rsid w:val="00020E35"/>
    <w:rsid w:val="0002461B"/>
    <w:rsid w:val="00030DFF"/>
    <w:rsid w:val="0003195F"/>
    <w:rsid w:val="000330CA"/>
    <w:rsid w:val="00040561"/>
    <w:rsid w:val="00045BE1"/>
    <w:rsid w:val="00054ECE"/>
    <w:rsid w:val="00062E4F"/>
    <w:rsid w:val="0006379E"/>
    <w:rsid w:val="0007319F"/>
    <w:rsid w:val="000740CF"/>
    <w:rsid w:val="000817DE"/>
    <w:rsid w:val="0008261F"/>
    <w:rsid w:val="00091171"/>
    <w:rsid w:val="000925EE"/>
    <w:rsid w:val="000A4C1B"/>
    <w:rsid w:val="000C7ECE"/>
    <w:rsid w:val="000D29E8"/>
    <w:rsid w:val="000D52FC"/>
    <w:rsid w:val="000E14F8"/>
    <w:rsid w:val="00117EC8"/>
    <w:rsid w:val="0012237C"/>
    <w:rsid w:val="00127358"/>
    <w:rsid w:val="00134AE8"/>
    <w:rsid w:val="00142CC5"/>
    <w:rsid w:val="00155756"/>
    <w:rsid w:val="00170791"/>
    <w:rsid w:val="00174348"/>
    <w:rsid w:val="00181984"/>
    <w:rsid w:val="00195199"/>
    <w:rsid w:val="001A14C7"/>
    <w:rsid w:val="001B2920"/>
    <w:rsid w:val="001B70D6"/>
    <w:rsid w:val="001D3F93"/>
    <w:rsid w:val="001D54AD"/>
    <w:rsid w:val="001D73A5"/>
    <w:rsid w:val="001E26A1"/>
    <w:rsid w:val="001E49ED"/>
    <w:rsid w:val="001E6E0A"/>
    <w:rsid w:val="001F3B04"/>
    <w:rsid w:val="00200AFA"/>
    <w:rsid w:val="002011C4"/>
    <w:rsid w:val="00201D5B"/>
    <w:rsid w:val="002026EF"/>
    <w:rsid w:val="00202B5B"/>
    <w:rsid w:val="00217134"/>
    <w:rsid w:val="00223EFD"/>
    <w:rsid w:val="00227BE2"/>
    <w:rsid w:val="00234954"/>
    <w:rsid w:val="002421F4"/>
    <w:rsid w:val="0026332B"/>
    <w:rsid w:val="00270D3A"/>
    <w:rsid w:val="00271047"/>
    <w:rsid w:val="00285819"/>
    <w:rsid w:val="002A32A8"/>
    <w:rsid w:val="002A47F1"/>
    <w:rsid w:val="002A57BC"/>
    <w:rsid w:val="002B0FCD"/>
    <w:rsid w:val="002B5EF0"/>
    <w:rsid w:val="002C54B2"/>
    <w:rsid w:val="002C68C8"/>
    <w:rsid w:val="002D0B12"/>
    <w:rsid w:val="002F558A"/>
    <w:rsid w:val="00300EE2"/>
    <w:rsid w:val="00302111"/>
    <w:rsid w:val="00310898"/>
    <w:rsid w:val="0031653E"/>
    <w:rsid w:val="003226E0"/>
    <w:rsid w:val="00323179"/>
    <w:rsid w:val="00340398"/>
    <w:rsid w:val="003513F4"/>
    <w:rsid w:val="00356978"/>
    <w:rsid w:val="00364705"/>
    <w:rsid w:val="003737C5"/>
    <w:rsid w:val="003860A4"/>
    <w:rsid w:val="003958BF"/>
    <w:rsid w:val="003C19CA"/>
    <w:rsid w:val="003C1EEC"/>
    <w:rsid w:val="003C24D9"/>
    <w:rsid w:val="003D2131"/>
    <w:rsid w:val="003E5651"/>
    <w:rsid w:val="003E6573"/>
    <w:rsid w:val="003E79C0"/>
    <w:rsid w:val="004155E5"/>
    <w:rsid w:val="00415B4E"/>
    <w:rsid w:val="00415E9E"/>
    <w:rsid w:val="004347DD"/>
    <w:rsid w:val="0044076F"/>
    <w:rsid w:val="00441F2C"/>
    <w:rsid w:val="004640C7"/>
    <w:rsid w:val="00467559"/>
    <w:rsid w:val="00474DBA"/>
    <w:rsid w:val="004A6F71"/>
    <w:rsid w:val="004B3259"/>
    <w:rsid w:val="004B52E9"/>
    <w:rsid w:val="004C2049"/>
    <w:rsid w:val="004C3D80"/>
    <w:rsid w:val="004D6C24"/>
    <w:rsid w:val="004E7948"/>
    <w:rsid w:val="004F4B95"/>
    <w:rsid w:val="004F6B77"/>
    <w:rsid w:val="004F6EB1"/>
    <w:rsid w:val="00520ECF"/>
    <w:rsid w:val="00532680"/>
    <w:rsid w:val="00532FD3"/>
    <w:rsid w:val="005404EE"/>
    <w:rsid w:val="0054181A"/>
    <w:rsid w:val="00542B63"/>
    <w:rsid w:val="00544C9F"/>
    <w:rsid w:val="00553E66"/>
    <w:rsid w:val="005542BE"/>
    <w:rsid w:val="005545FF"/>
    <w:rsid w:val="0055596E"/>
    <w:rsid w:val="00561C99"/>
    <w:rsid w:val="00564839"/>
    <w:rsid w:val="00571B9C"/>
    <w:rsid w:val="0057308A"/>
    <w:rsid w:val="00576D9D"/>
    <w:rsid w:val="005779FC"/>
    <w:rsid w:val="00586824"/>
    <w:rsid w:val="00591947"/>
    <w:rsid w:val="00596E18"/>
    <w:rsid w:val="005A0D48"/>
    <w:rsid w:val="005A3132"/>
    <w:rsid w:val="005A6257"/>
    <w:rsid w:val="005B3B30"/>
    <w:rsid w:val="005C5884"/>
    <w:rsid w:val="005C5A7A"/>
    <w:rsid w:val="005D2D5B"/>
    <w:rsid w:val="005D4D78"/>
    <w:rsid w:val="005D6CE7"/>
    <w:rsid w:val="005F4D37"/>
    <w:rsid w:val="0060034B"/>
    <w:rsid w:val="00610E65"/>
    <w:rsid w:val="00614B0E"/>
    <w:rsid w:val="00630047"/>
    <w:rsid w:val="00640B71"/>
    <w:rsid w:val="00656AB2"/>
    <w:rsid w:val="00667CF0"/>
    <w:rsid w:val="00670F7F"/>
    <w:rsid w:val="00690821"/>
    <w:rsid w:val="00694A40"/>
    <w:rsid w:val="006B3F4A"/>
    <w:rsid w:val="006C35BB"/>
    <w:rsid w:val="006C4894"/>
    <w:rsid w:val="006D4E54"/>
    <w:rsid w:val="006E00D7"/>
    <w:rsid w:val="006F2065"/>
    <w:rsid w:val="006F4463"/>
    <w:rsid w:val="006F6FB4"/>
    <w:rsid w:val="00703440"/>
    <w:rsid w:val="00707975"/>
    <w:rsid w:val="00721BA9"/>
    <w:rsid w:val="00722898"/>
    <w:rsid w:val="00725A80"/>
    <w:rsid w:val="007338FD"/>
    <w:rsid w:val="00734F4E"/>
    <w:rsid w:val="0074056D"/>
    <w:rsid w:val="00745B22"/>
    <w:rsid w:val="0074715B"/>
    <w:rsid w:val="00755916"/>
    <w:rsid w:val="00763B87"/>
    <w:rsid w:val="0077204F"/>
    <w:rsid w:val="00777AB1"/>
    <w:rsid w:val="00785D6B"/>
    <w:rsid w:val="00796451"/>
    <w:rsid w:val="007965BF"/>
    <w:rsid w:val="007A07FC"/>
    <w:rsid w:val="007B3970"/>
    <w:rsid w:val="007C3033"/>
    <w:rsid w:val="007C3191"/>
    <w:rsid w:val="007C40B0"/>
    <w:rsid w:val="007D0123"/>
    <w:rsid w:val="007D62B9"/>
    <w:rsid w:val="007D6B46"/>
    <w:rsid w:val="007E69FE"/>
    <w:rsid w:val="007F6066"/>
    <w:rsid w:val="00801D91"/>
    <w:rsid w:val="00805D74"/>
    <w:rsid w:val="0082625D"/>
    <w:rsid w:val="00826319"/>
    <w:rsid w:val="0083161D"/>
    <w:rsid w:val="00834429"/>
    <w:rsid w:val="00835896"/>
    <w:rsid w:val="008370CF"/>
    <w:rsid w:val="00841B24"/>
    <w:rsid w:val="00853B55"/>
    <w:rsid w:val="00861BD0"/>
    <w:rsid w:val="0087373C"/>
    <w:rsid w:val="00877E17"/>
    <w:rsid w:val="00886E84"/>
    <w:rsid w:val="00893735"/>
    <w:rsid w:val="00897516"/>
    <w:rsid w:val="008A25DF"/>
    <w:rsid w:val="008A37F8"/>
    <w:rsid w:val="008A465C"/>
    <w:rsid w:val="008A52B5"/>
    <w:rsid w:val="008A7D98"/>
    <w:rsid w:val="008B349B"/>
    <w:rsid w:val="008B3879"/>
    <w:rsid w:val="008B47AF"/>
    <w:rsid w:val="008B6334"/>
    <w:rsid w:val="008C3DF1"/>
    <w:rsid w:val="008C5B68"/>
    <w:rsid w:val="008D3510"/>
    <w:rsid w:val="008F4C99"/>
    <w:rsid w:val="008F6CD2"/>
    <w:rsid w:val="0090316E"/>
    <w:rsid w:val="009448AD"/>
    <w:rsid w:val="00947CAF"/>
    <w:rsid w:val="00950CD0"/>
    <w:rsid w:val="00956899"/>
    <w:rsid w:val="00970FF5"/>
    <w:rsid w:val="0097112B"/>
    <w:rsid w:val="00983E5B"/>
    <w:rsid w:val="00984D97"/>
    <w:rsid w:val="009854B2"/>
    <w:rsid w:val="00986B8C"/>
    <w:rsid w:val="009930B2"/>
    <w:rsid w:val="009A31AD"/>
    <w:rsid w:val="009A378D"/>
    <w:rsid w:val="009A7156"/>
    <w:rsid w:val="009B1699"/>
    <w:rsid w:val="009B719A"/>
    <w:rsid w:val="009B726D"/>
    <w:rsid w:val="009B7403"/>
    <w:rsid w:val="009C28F2"/>
    <w:rsid w:val="009D24FD"/>
    <w:rsid w:val="009D278D"/>
    <w:rsid w:val="009D6C70"/>
    <w:rsid w:val="009F72D3"/>
    <w:rsid w:val="00A00F8F"/>
    <w:rsid w:val="00A031AE"/>
    <w:rsid w:val="00A07E07"/>
    <w:rsid w:val="00A1337D"/>
    <w:rsid w:val="00A13D9E"/>
    <w:rsid w:val="00A217C6"/>
    <w:rsid w:val="00A33C5C"/>
    <w:rsid w:val="00A33F89"/>
    <w:rsid w:val="00A50851"/>
    <w:rsid w:val="00A566F8"/>
    <w:rsid w:val="00A57A7D"/>
    <w:rsid w:val="00A608D0"/>
    <w:rsid w:val="00A77985"/>
    <w:rsid w:val="00A81CEF"/>
    <w:rsid w:val="00A82B2B"/>
    <w:rsid w:val="00A90612"/>
    <w:rsid w:val="00A9169D"/>
    <w:rsid w:val="00A962E9"/>
    <w:rsid w:val="00AA0BAE"/>
    <w:rsid w:val="00AB1143"/>
    <w:rsid w:val="00AD2A80"/>
    <w:rsid w:val="00AE2FA0"/>
    <w:rsid w:val="00AF5525"/>
    <w:rsid w:val="00AF6E07"/>
    <w:rsid w:val="00B00B0B"/>
    <w:rsid w:val="00B03ACB"/>
    <w:rsid w:val="00B05D40"/>
    <w:rsid w:val="00B0663A"/>
    <w:rsid w:val="00B07402"/>
    <w:rsid w:val="00B07554"/>
    <w:rsid w:val="00B3476D"/>
    <w:rsid w:val="00B40920"/>
    <w:rsid w:val="00B47521"/>
    <w:rsid w:val="00B527C0"/>
    <w:rsid w:val="00B7048E"/>
    <w:rsid w:val="00B740A7"/>
    <w:rsid w:val="00B80F08"/>
    <w:rsid w:val="00B84132"/>
    <w:rsid w:val="00B9277E"/>
    <w:rsid w:val="00B93B58"/>
    <w:rsid w:val="00BB2B6A"/>
    <w:rsid w:val="00BB748A"/>
    <w:rsid w:val="00BD3AF0"/>
    <w:rsid w:val="00BD4709"/>
    <w:rsid w:val="00BD773C"/>
    <w:rsid w:val="00BE69BA"/>
    <w:rsid w:val="00BF4FB0"/>
    <w:rsid w:val="00C02DF4"/>
    <w:rsid w:val="00C044EA"/>
    <w:rsid w:val="00C30B25"/>
    <w:rsid w:val="00C640F4"/>
    <w:rsid w:val="00C723A7"/>
    <w:rsid w:val="00C86C6C"/>
    <w:rsid w:val="00C90ED0"/>
    <w:rsid w:val="00C96031"/>
    <w:rsid w:val="00CB45F2"/>
    <w:rsid w:val="00CC0677"/>
    <w:rsid w:val="00CC298B"/>
    <w:rsid w:val="00CC2F44"/>
    <w:rsid w:val="00CC73AE"/>
    <w:rsid w:val="00CD0734"/>
    <w:rsid w:val="00CD32DD"/>
    <w:rsid w:val="00CE3E4F"/>
    <w:rsid w:val="00D04DD1"/>
    <w:rsid w:val="00D0714A"/>
    <w:rsid w:val="00D10497"/>
    <w:rsid w:val="00D11C60"/>
    <w:rsid w:val="00D37206"/>
    <w:rsid w:val="00D43571"/>
    <w:rsid w:val="00D51AF0"/>
    <w:rsid w:val="00D57F74"/>
    <w:rsid w:val="00D64CCF"/>
    <w:rsid w:val="00D64D64"/>
    <w:rsid w:val="00D730EF"/>
    <w:rsid w:val="00D81821"/>
    <w:rsid w:val="00D83F34"/>
    <w:rsid w:val="00D87F1F"/>
    <w:rsid w:val="00DA1CAF"/>
    <w:rsid w:val="00DA5EF7"/>
    <w:rsid w:val="00DB7E72"/>
    <w:rsid w:val="00DB7F9C"/>
    <w:rsid w:val="00DD14A3"/>
    <w:rsid w:val="00DD3FE9"/>
    <w:rsid w:val="00DD7334"/>
    <w:rsid w:val="00DE4A02"/>
    <w:rsid w:val="00DE615B"/>
    <w:rsid w:val="00E00634"/>
    <w:rsid w:val="00E038BB"/>
    <w:rsid w:val="00E050A6"/>
    <w:rsid w:val="00E12F32"/>
    <w:rsid w:val="00E22C30"/>
    <w:rsid w:val="00E2406E"/>
    <w:rsid w:val="00E42B90"/>
    <w:rsid w:val="00E60009"/>
    <w:rsid w:val="00E8208B"/>
    <w:rsid w:val="00E92799"/>
    <w:rsid w:val="00E95CEC"/>
    <w:rsid w:val="00E9700E"/>
    <w:rsid w:val="00E972E9"/>
    <w:rsid w:val="00EA5939"/>
    <w:rsid w:val="00EC578A"/>
    <w:rsid w:val="00ED093B"/>
    <w:rsid w:val="00ED2528"/>
    <w:rsid w:val="00F00CCF"/>
    <w:rsid w:val="00F04209"/>
    <w:rsid w:val="00F105B7"/>
    <w:rsid w:val="00F13824"/>
    <w:rsid w:val="00F17CA1"/>
    <w:rsid w:val="00F17E85"/>
    <w:rsid w:val="00F314CB"/>
    <w:rsid w:val="00F4077B"/>
    <w:rsid w:val="00F50309"/>
    <w:rsid w:val="00F72C7B"/>
    <w:rsid w:val="00F81F29"/>
    <w:rsid w:val="00FA306C"/>
    <w:rsid w:val="00FA4955"/>
    <w:rsid w:val="00FB05E2"/>
    <w:rsid w:val="00FB6C85"/>
    <w:rsid w:val="00FC20F4"/>
    <w:rsid w:val="00FC59AA"/>
    <w:rsid w:val="00FD460C"/>
    <w:rsid w:val="00FF342B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C1EE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C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C5B68"/>
  </w:style>
  <w:style w:type="paragraph" w:styleId="Pta">
    <w:name w:val="footer"/>
    <w:basedOn w:val="Normlny"/>
    <w:link w:val="PtaChar"/>
    <w:uiPriority w:val="99"/>
    <w:unhideWhenUsed/>
    <w:rsid w:val="008C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5B68"/>
  </w:style>
  <w:style w:type="character" w:customStyle="1" w:styleId="alt-edited">
    <w:name w:val="alt-edited"/>
    <w:basedOn w:val="Predvolenpsmoodseku"/>
    <w:rsid w:val="003958BF"/>
  </w:style>
  <w:style w:type="character" w:styleId="Hypertextovprepojenie">
    <w:name w:val="Hyperlink"/>
    <w:basedOn w:val="Predvolenpsmoodseku"/>
    <w:uiPriority w:val="99"/>
    <w:unhideWhenUsed/>
    <w:rsid w:val="003737C5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1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198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667CF0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ED252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252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D252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252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252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C1EE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C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C5B68"/>
  </w:style>
  <w:style w:type="paragraph" w:styleId="Pta">
    <w:name w:val="footer"/>
    <w:basedOn w:val="Normlny"/>
    <w:link w:val="PtaChar"/>
    <w:uiPriority w:val="99"/>
    <w:unhideWhenUsed/>
    <w:rsid w:val="008C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5B68"/>
  </w:style>
  <w:style w:type="character" w:customStyle="1" w:styleId="alt-edited">
    <w:name w:val="alt-edited"/>
    <w:basedOn w:val="Predvolenpsmoodseku"/>
    <w:rsid w:val="003958BF"/>
  </w:style>
  <w:style w:type="character" w:styleId="Hypertextovprepojenie">
    <w:name w:val="Hyperlink"/>
    <w:basedOn w:val="Predvolenpsmoodseku"/>
    <w:uiPriority w:val="99"/>
    <w:unhideWhenUsed/>
    <w:rsid w:val="003737C5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1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198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667CF0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ED252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252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D252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252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25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A2045-AB4C-492B-8D0E-C3DAA198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Jáger</dc:creator>
  <cp:lastModifiedBy>Vladimír Jáger</cp:lastModifiedBy>
  <cp:revision>3</cp:revision>
  <cp:lastPrinted>2019-01-15T08:57:00Z</cp:lastPrinted>
  <dcterms:created xsi:type="dcterms:W3CDTF">2024-04-19T09:09:00Z</dcterms:created>
  <dcterms:modified xsi:type="dcterms:W3CDTF">2024-04-19T09:09:00Z</dcterms:modified>
</cp:coreProperties>
</file>